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A8" w:rsidRDefault="009426AF" w:rsidP="009426AF">
      <w:pPr>
        <w:pStyle w:val="Default"/>
        <w:spacing w:line="360" w:lineRule="auto"/>
        <w:jc w:val="both"/>
        <w:rPr>
          <w:lang w:val="bg-BG"/>
        </w:rPr>
      </w:pPr>
      <w:r w:rsidRPr="00850039">
        <w:rPr>
          <w:lang w:val="bg-BG"/>
        </w:rPr>
        <w:t>Данъчно задължено лице, което използва един от специалните режими</w:t>
      </w:r>
      <w:r w:rsidR="00850039">
        <w:rPr>
          <w:lang w:val="bg-BG"/>
        </w:rPr>
        <w:t xml:space="preserve"> (</w:t>
      </w:r>
      <w:r w:rsidR="00850039" w:rsidRPr="00290DA8">
        <w:rPr>
          <w:i/>
          <w:lang w:val="bg-BG"/>
        </w:rPr>
        <w:t>специален режим извън Съюза, специален режим в Съюза и специален режим за дистанционни продажби на стоки, внасяни от трети страни или територии, т. нар. специален режим Внос</w:t>
      </w:r>
      <w:r w:rsidR="00850039">
        <w:rPr>
          <w:lang w:val="bg-BG"/>
        </w:rPr>
        <w:t>)</w:t>
      </w:r>
      <w:r w:rsidRPr="00850039">
        <w:rPr>
          <w:lang w:val="bg-BG"/>
        </w:rPr>
        <w:t xml:space="preserve">, или посредник, представляващ данъчно задължено лице, което използва специален режим </w:t>
      </w:r>
      <w:r w:rsidR="00850039" w:rsidRPr="00850039">
        <w:rPr>
          <w:lang w:val="bg-BG"/>
        </w:rPr>
        <w:t>Внос</w:t>
      </w:r>
      <w:r w:rsidRPr="00850039">
        <w:rPr>
          <w:lang w:val="bg-BG"/>
        </w:rPr>
        <w:t xml:space="preserve">, трябва да подава по електронен път справка-декларация за </w:t>
      </w:r>
      <w:r w:rsidR="00850039">
        <w:rPr>
          <w:lang w:val="bg-BG"/>
        </w:rPr>
        <w:t>прилагане на</w:t>
      </w:r>
      <w:r w:rsidRPr="00850039">
        <w:rPr>
          <w:lang w:val="bg-BG"/>
        </w:rPr>
        <w:t xml:space="preserve"> </w:t>
      </w:r>
      <w:r w:rsidR="001E3EB0">
        <w:rPr>
          <w:lang w:val="bg-BG"/>
        </w:rPr>
        <w:t xml:space="preserve">съответния </w:t>
      </w:r>
      <w:r w:rsidRPr="00850039">
        <w:rPr>
          <w:lang w:val="bg-BG"/>
        </w:rPr>
        <w:t>специал</w:t>
      </w:r>
      <w:r w:rsidR="001E3EB0">
        <w:rPr>
          <w:lang w:val="bg-BG"/>
        </w:rPr>
        <w:t>е</w:t>
      </w:r>
      <w:r w:rsidRPr="00850039">
        <w:rPr>
          <w:lang w:val="bg-BG"/>
        </w:rPr>
        <w:t>н</w:t>
      </w:r>
      <w:r w:rsidR="001E3EB0">
        <w:rPr>
          <w:lang w:val="bg-BG"/>
        </w:rPr>
        <w:t xml:space="preserve"> режим</w:t>
      </w:r>
      <w:r w:rsidR="00850039">
        <w:rPr>
          <w:lang w:val="bg-BG"/>
        </w:rPr>
        <w:t xml:space="preserve"> </w:t>
      </w:r>
      <w:r w:rsidRPr="00850039">
        <w:rPr>
          <w:lang w:val="bg-BG"/>
        </w:rPr>
        <w:t>за всеки данъчен период</w:t>
      </w:r>
      <w:r w:rsidR="006A7C37">
        <w:rPr>
          <w:lang w:val="bg-BG"/>
        </w:rPr>
        <w:t>,</w:t>
      </w:r>
      <w:r w:rsidRPr="00850039">
        <w:rPr>
          <w:lang w:val="bg-BG"/>
        </w:rPr>
        <w:t xml:space="preserve"> независимо дали по време на този период са извършвани доставки на услуги или стоки</w:t>
      </w:r>
      <w:r w:rsidR="00850039" w:rsidRPr="00850039">
        <w:rPr>
          <w:lang w:val="bg-BG"/>
        </w:rPr>
        <w:t>, за които се прилага съответния режим</w:t>
      </w:r>
      <w:r w:rsidRPr="00850039">
        <w:rPr>
          <w:lang w:val="bg-BG"/>
        </w:rPr>
        <w:t>.</w:t>
      </w:r>
      <w:r w:rsidR="00290DA8">
        <w:rPr>
          <w:lang w:val="bg-BG"/>
        </w:rPr>
        <w:t xml:space="preserve"> </w:t>
      </w:r>
      <w:r w:rsidRPr="00850039">
        <w:rPr>
          <w:lang w:val="bg-BG"/>
        </w:rPr>
        <w:t xml:space="preserve"> Когато за този период не са извършвани </w:t>
      </w:r>
      <w:r w:rsidR="00850039">
        <w:rPr>
          <w:lang w:val="bg-BG"/>
        </w:rPr>
        <w:t xml:space="preserve">такива </w:t>
      </w:r>
      <w:r w:rsidRPr="00850039">
        <w:rPr>
          <w:lang w:val="bg-BG"/>
        </w:rPr>
        <w:t>доставки, трябва да се подаде „</w:t>
      </w:r>
      <w:r w:rsidRPr="00290DA8">
        <w:rPr>
          <w:lang w:val="bg-BG"/>
        </w:rPr>
        <w:t>нулева справка-декларация</w:t>
      </w:r>
      <w:r w:rsidRPr="00850039">
        <w:rPr>
          <w:lang w:val="bg-BG"/>
        </w:rPr>
        <w:t xml:space="preserve">“. </w:t>
      </w:r>
    </w:p>
    <w:p w:rsidR="00290DA8" w:rsidRDefault="00290DA8" w:rsidP="009426AF">
      <w:pPr>
        <w:pStyle w:val="Default"/>
        <w:spacing w:line="360" w:lineRule="auto"/>
        <w:jc w:val="both"/>
        <w:rPr>
          <w:lang w:val="bg-BG"/>
        </w:rPr>
      </w:pPr>
    </w:p>
    <w:p w:rsidR="00290DA8" w:rsidRDefault="009426AF" w:rsidP="009426AF">
      <w:pPr>
        <w:pStyle w:val="Default"/>
        <w:spacing w:line="360" w:lineRule="auto"/>
        <w:jc w:val="both"/>
        <w:rPr>
          <w:lang w:val="bg-BG"/>
        </w:rPr>
      </w:pPr>
      <w:r w:rsidRPr="00850039">
        <w:rPr>
          <w:lang w:val="bg-BG"/>
        </w:rPr>
        <w:t xml:space="preserve">Данъчният период е </w:t>
      </w:r>
      <w:r w:rsidRPr="00290DA8">
        <w:rPr>
          <w:b/>
          <w:lang w:val="bg-BG"/>
        </w:rPr>
        <w:t xml:space="preserve">календарното тримесечие </w:t>
      </w:r>
      <w:r w:rsidRPr="00290DA8">
        <w:rPr>
          <w:i/>
          <w:lang w:val="bg-BG"/>
        </w:rPr>
        <w:t xml:space="preserve">за </w:t>
      </w:r>
      <w:r w:rsidR="00BE1514" w:rsidRPr="00290DA8">
        <w:rPr>
          <w:i/>
          <w:lang w:val="bg-BG"/>
        </w:rPr>
        <w:t xml:space="preserve">специален </w:t>
      </w:r>
      <w:r w:rsidRPr="00290DA8">
        <w:rPr>
          <w:i/>
          <w:lang w:val="bg-BG"/>
        </w:rPr>
        <w:t xml:space="preserve">режим извън Съюза и </w:t>
      </w:r>
      <w:r w:rsidR="00BE1514" w:rsidRPr="00290DA8">
        <w:rPr>
          <w:i/>
          <w:lang w:val="bg-BG"/>
        </w:rPr>
        <w:t xml:space="preserve">специален </w:t>
      </w:r>
      <w:r w:rsidRPr="00290DA8">
        <w:rPr>
          <w:i/>
          <w:lang w:val="bg-BG"/>
        </w:rPr>
        <w:t>режим в Съюза</w:t>
      </w:r>
      <w:r w:rsidRPr="00290DA8">
        <w:rPr>
          <w:b/>
          <w:lang w:val="bg-BG"/>
        </w:rPr>
        <w:t xml:space="preserve"> </w:t>
      </w:r>
      <w:r w:rsidRPr="00850039">
        <w:rPr>
          <w:lang w:val="bg-BG"/>
        </w:rPr>
        <w:t xml:space="preserve">и </w:t>
      </w:r>
      <w:r w:rsidRPr="00290DA8">
        <w:rPr>
          <w:b/>
          <w:lang w:val="bg-BG"/>
        </w:rPr>
        <w:t>календарният месец</w:t>
      </w:r>
      <w:r w:rsidRPr="00850039">
        <w:rPr>
          <w:lang w:val="bg-BG"/>
        </w:rPr>
        <w:t xml:space="preserve"> за </w:t>
      </w:r>
      <w:r w:rsidR="00BE1514" w:rsidRPr="00290DA8">
        <w:rPr>
          <w:i/>
          <w:lang w:val="bg-BG"/>
        </w:rPr>
        <w:t xml:space="preserve">специален </w:t>
      </w:r>
      <w:r w:rsidRPr="00290DA8">
        <w:rPr>
          <w:i/>
          <w:lang w:val="bg-BG"/>
        </w:rPr>
        <w:t>режим Внос</w:t>
      </w:r>
      <w:r w:rsidRPr="00850039">
        <w:rPr>
          <w:lang w:val="bg-BG"/>
        </w:rPr>
        <w:t xml:space="preserve">. </w:t>
      </w:r>
    </w:p>
    <w:p w:rsidR="009426AF" w:rsidRPr="00850039" w:rsidRDefault="009426AF" w:rsidP="009426AF">
      <w:pPr>
        <w:pStyle w:val="Default"/>
        <w:spacing w:line="360" w:lineRule="auto"/>
        <w:jc w:val="both"/>
        <w:rPr>
          <w:lang w:val="bg-BG"/>
        </w:rPr>
      </w:pPr>
      <w:r w:rsidRPr="00850039">
        <w:rPr>
          <w:lang w:val="bg-BG"/>
        </w:rPr>
        <w:t xml:space="preserve">Подаването на справка-декларацията за </w:t>
      </w:r>
      <w:r w:rsidR="00BE1514">
        <w:rPr>
          <w:lang w:val="bg-BG"/>
        </w:rPr>
        <w:t xml:space="preserve">прилагане на </w:t>
      </w:r>
      <w:r w:rsidR="001E3EB0">
        <w:rPr>
          <w:lang w:val="bg-BG"/>
        </w:rPr>
        <w:t xml:space="preserve">съответен </w:t>
      </w:r>
      <w:r w:rsidR="00BE1514">
        <w:rPr>
          <w:lang w:val="bg-BG"/>
        </w:rPr>
        <w:t>специал</w:t>
      </w:r>
      <w:r w:rsidR="001E3EB0">
        <w:rPr>
          <w:lang w:val="bg-BG"/>
        </w:rPr>
        <w:t>е</w:t>
      </w:r>
      <w:r w:rsidR="00BE1514">
        <w:rPr>
          <w:lang w:val="bg-BG"/>
        </w:rPr>
        <w:t>н режим</w:t>
      </w:r>
      <w:r w:rsidRPr="00850039">
        <w:rPr>
          <w:lang w:val="bg-BG"/>
        </w:rPr>
        <w:t xml:space="preserve"> (и съответно плащането</w:t>
      </w:r>
      <w:r w:rsidR="00BE1514">
        <w:rPr>
          <w:lang w:val="bg-BG"/>
        </w:rPr>
        <w:t xml:space="preserve"> на дължимия по справка-декларацията данък върху добавената </w:t>
      </w:r>
      <w:proofErr w:type="spellStart"/>
      <w:r w:rsidR="00BE1514">
        <w:rPr>
          <w:lang w:val="bg-BG"/>
        </w:rPr>
        <w:t>сойност</w:t>
      </w:r>
      <w:proofErr w:type="spellEnd"/>
      <w:r w:rsidRPr="00850039">
        <w:rPr>
          <w:lang w:val="bg-BG"/>
        </w:rPr>
        <w:t xml:space="preserve">) трябва да бъде извършено до края на месеца след данъчния период, за който се отнася. </w:t>
      </w:r>
    </w:p>
    <w:p w:rsidR="00290DA8" w:rsidRDefault="00290DA8" w:rsidP="009426AF">
      <w:pPr>
        <w:pStyle w:val="Default"/>
        <w:spacing w:line="360" w:lineRule="auto"/>
        <w:jc w:val="both"/>
        <w:rPr>
          <w:lang w:val="bg-BG"/>
        </w:rPr>
      </w:pPr>
    </w:p>
    <w:p w:rsidR="00290DA8" w:rsidRDefault="009426AF" w:rsidP="009426AF">
      <w:pPr>
        <w:pStyle w:val="Default"/>
        <w:spacing w:line="360" w:lineRule="auto"/>
        <w:jc w:val="both"/>
        <w:rPr>
          <w:lang w:val="bg-BG"/>
        </w:rPr>
      </w:pPr>
      <w:r w:rsidRPr="00850039">
        <w:rPr>
          <w:lang w:val="bg-BG"/>
        </w:rPr>
        <w:t xml:space="preserve">Справка-декларацията за </w:t>
      </w:r>
      <w:r w:rsidR="00BE1514">
        <w:rPr>
          <w:lang w:val="bg-BG"/>
        </w:rPr>
        <w:t>прилагане на специалните</w:t>
      </w:r>
      <w:r w:rsidRPr="00850039">
        <w:rPr>
          <w:lang w:val="bg-BG"/>
        </w:rPr>
        <w:t xml:space="preserve"> режим</w:t>
      </w:r>
      <w:r w:rsidR="00BE1514">
        <w:rPr>
          <w:lang w:val="bg-BG"/>
        </w:rPr>
        <w:t>и</w:t>
      </w:r>
      <w:r w:rsidRPr="00850039">
        <w:rPr>
          <w:lang w:val="bg-BG"/>
        </w:rPr>
        <w:t xml:space="preserve"> съдържа данните за доставките до клиенти във всяка държава членка по потребление, извършени от данъчно задълженото лице, което използва </w:t>
      </w:r>
      <w:r w:rsidR="00BE1514">
        <w:rPr>
          <w:lang w:val="bg-BG"/>
        </w:rPr>
        <w:t xml:space="preserve">съответен </w:t>
      </w:r>
      <w:r w:rsidRPr="00850039">
        <w:rPr>
          <w:lang w:val="bg-BG"/>
        </w:rPr>
        <w:t xml:space="preserve">режим. </w:t>
      </w:r>
    </w:p>
    <w:p w:rsidR="00FB4486" w:rsidRDefault="00FB4486" w:rsidP="009426AF">
      <w:pPr>
        <w:pStyle w:val="Default"/>
        <w:spacing w:line="360" w:lineRule="auto"/>
        <w:jc w:val="both"/>
        <w:rPr>
          <w:lang w:val="bg-BG"/>
        </w:rPr>
      </w:pPr>
    </w:p>
    <w:p w:rsidR="009426AF" w:rsidRPr="00850039" w:rsidRDefault="009426AF" w:rsidP="009426AF">
      <w:pPr>
        <w:pStyle w:val="Default"/>
        <w:spacing w:line="360" w:lineRule="auto"/>
        <w:jc w:val="both"/>
        <w:rPr>
          <w:lang w:val="bg-BG"/>
        </w:rPr>
      </w:pPr>
      <w:r w:rsidRPr="00850039">
        <w:rPr>
          <w:lang w:val="bg-BG"/>
        </w:rPr>
        <w:t xml:space="preserve">При </w:t>
      </w:r>
      <w:r w:rsidR="00BE1514">
        <w:rPr>
          <w:lang w:val="bg-BG"/>
        </w:rPr>
        <w:t xml:space="preserve">специален </w:t>
      </w:r>
      <w:r w:rsidRPr="00850039">
        <w:rPr>
          <w:lang w:val="bg-BG"/>
        </w:rPr>
        <w:t xml:space="preserve">режим в Съюза доставките се разделят и се посочват данни за доставките на стоки и на услуги. Данъчно задълженото лице трябва да посочи услугите, предоставяни от държавата членка по идентификация, отделно от услугите, предоставяни от постоянни обекти в държава членка, различна от държавата членка по идентификация. Доставките на стоки при </w:t>
      </w:r>
      <w:r w:rsidR="00BE1514">
        <w:rPr>
          <w:lang w:val="bg-BG"/>
        </w:rPr>
        <w:t xml:space="preserve">специален </w:t>
      </w:r>
      <w:r w:rsidRPr="00850039">
        <w:rPr>
          <w:lang w:val="bg-BG"/>
        </w:rPr>
        <w:t xml:space="preserve">режим в Съюза се посочват отделно и в зависимост от държавата членка, в която започва изпращането/превозът на стоките. </w:t>
      </w:r>
    </w:p>
    <w:p w:rsidR="00290DA8" w:rsidRDefault="00290DA8" w:rsidP="009426AF">
      <w:pPr>
        <w:pStyle w:val="Default"/>
        <w:spacing w:line="360" w:lineRule="auto"/>
        <w:jc w:val="both"/>
        <w:rPr>
          <w:lang w:val="bg-BG"/>
        </w:rPr>
      </w:pPr>
    </w:p>
    <w:p w:rsidR="009426AF" w:rsidRDefault="009426AF" w:rsidP="009426AF">
      <w:pPr>
        <w:pStyle w:val="Default"/>
        <w:spacing w:line="360" w:lineRule="auto"/>
        <w:jc w:val="both"/>
        <w:rPr>
          <w:lang w:val="bg-BG"/>
        </w:rPr>
      </w:pPr>
      <w:r w:rsidRPr="00850039">
        <w:rPr>
          <w:lang w:val="bg-BG"/>
        </w:rPr>
        <w:t xml:space="preserve">Държавата членка по идентификация разделя справка-декларацията за </w:t>
      </w:r>
      <w:r w:rsidR="00BE1514">
        <w:rPr>
          <w:lang w:val="bg-BG"/>
        </w:rPr>
        <w:t>прилагането на</w:t>
      </w:r>
      <w:r w:rsidRPr="00850039">
        <w:rPr>
          <w:lang w:val="bg-BG"/>
        </w:rPr>
        <w:t xml:space="preserve"> </w:t>
      </w:r>
      <w:r w:rsidR="00BE1514">
        <w:rPr>
          <w:lang w:val="bg-BG"/>
        </w:rPr>
        <w:t xml:space="preserve">специалните </w:t>
      </w:r>
      <w:r w:rsidRPr="00850039">
        <w:rPr>
          <w:lang w:val="bg-BG"/>
        </w:rPr>
        <w:t>режим</w:t>
      </w:r>
      <w:r w:rsidR="00BE1514">
        <w:rPr>
          <w:lang w:val="bg-BG"/>
        </w:rPr>
        <w:t>и</w:t>
      </w:r>
      <w:r w:rsidRPr="00850039">
        <w:rPr>
          <w:lang w:val="bg-BG"/>
        </w:rPr>
        <w:t xml:space="preserve"> по държави членки по потребление и препраща данните на различните държави членки по потребление, а при </w:t>
      </w:r>
      <w:r w:rsidR="00BE1514">
        <w:rPr>
          <w:lang w:val="bg-BG"/>
        </w:rPr>
        <w:t xml:space="preserve">специален </w:t>
      </w:r>
      <w:r w:rsidRPr="00850039">
        <w:rPr>
          <w:lang w:val="bg-BG"/>
        </w:rPr>
        <w:t xml:space="preserve">режим в Съюза — допълнително и на държавата или държавите членки по установяване и на онези държави членки, от които са изпратени или превозени стоките. </w:t>
      </w:r>
    </w:p>
    <w:p w:rsidR="00290DA8" w:rsidRDefault="00290DA8" w:rsidP="008E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F7" w:rsidRPr="00850039" w:rsidRDefault="009426AF" w:rsidP="008E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9">
        <w:rPr>
          <w:rFonts w:ascii="Times New Roman" w:hAnsi="Times New Roman" w:cs="Times New Roman"/>
          <w:sz w:val="24"/>
          <w:szCs w:val="24"/>
        </w:rPr>
        <w:t xml:space="preserve">Държавата членка по идентификация издава уникален референтен номер за всяка справка-декларация за </w:t>
      </w:r>
      <w:r w:rsidR="00BE1514">
        <w:rPr>
          <w:rFonts w:ascii="Times New Roman" w:hAnsi="Times New Roman" w:cs="Times New Roman"/>
          <w:sz w:val="24"/>
          <w:szCs w:val="24"/>
        </w:rPr>
        <w:t>прилагане на</w:t>
      </w:r>
      <w:r w:rsidRPr="00850039">
        <w:rPr>
          <w:rFonts w:ascii="Times New Roman" w:hAnsi="Times New Roman" w:cs="Times New Roman"/>
          <w:sz w:val="24"/>
          <w:szCs w:val="24"/>
        </w:rPr>
        <w:t xml:space="preserve"> </w:t>
      </w:r>
      <w:r w:rsidR="008E1DC0">
        <w:rPr>
          <w:rFonts w:ascii="Times New Roman" w:hAnsi="Times New Roman" w:cs="Times New Roman"/>
          <w:sz w:val="24"/>
          <w:szCs w:val="24"/>
        </w:rPr>
        <w:t>съотве</w:t>
      </w:r>
      <w:r w:rsidR="001E3EB0">
        <w:rPr>
          <w:rFonts w:ascii="Times New Roman" w:hAnsi="Times New Roman" w:cs="Times New Roman"/>
          <w:sz w:val="24"/>
          <w:szCs w:val="24"/>
        </w:rPr>
        <w:t>т</w:t>
      </w:r>
      <w:r w:rsidR="008E1DC0">
        <w:rPr>
          <w:rFonts w:ascii="Times New Roman" w:hAnsi="Times New Roman" w:cs="Times New Roman"/>
          <w:sz w:val="24"/>
          <w:szCs w:val="24"/>
        </w:rPr>
        <w:t xml:space="preserve">ен </w:t>
      </w:r>
      <w:r w:rsidR="00BE1514">
        <w:rPr>
          <w:rFonts w:ascii="Times New Roman" w:hAnsi="Times New Roman" w:cs="Times New Roman"/>
          <w:sz w:val="24"/>
          <w:szCs w:val="24"/>
        </w:rPr>
        <w:t>специал</w:t>
      </w:r>
      <w:r w:rsidR="008E1DC0">
        <w:rPr>
          <w:rFonts w:ascii="Times New Roman" w:hAnsi="Times New Roman" w:cs="Times New Roman"/>
          <w:sz w:val="24"/>
          <w:szCs w:val="24"/>
        </w:rPr>
        <w:t>е</w:t>
      </w:r>
      <w:r w:rsidR="00BE1514">
        <w:rPr>
          <w:rFonts w:ascii="Times New Roman" w:hAnsi="Times New Roman" w:cs="Times New Roman"/>
          <w:sz w:val="24"/>
          <w:szCs w:val="24"/>
        </w:rPr>
        <w:t xml:space="preserve">н </w:t>
      </w:r>
      <w:r w:rsidRPr="00850039">
        <w:rPr>
          <w:rFonts w:ascii="Times New Roman" w:hAnsi="Times New Roman" w:cs="Times New Roman"/>
          <w:sz w:val="24"/>
          <w:szCs w:val="24"/>
        </w:rPr>
        <w:t>режим и незабавно съобщава този номер на данъчно задълженото лице/посредника. Този номер е важен, тъй като данъчно задълженото лице/посредникът трябва да го посочи</w:t>
      </w:r>
      <w:r w:rsidR="006A7C37">
        <w:rPr>
          <w:rFonts w:ascii="Times New Roman" w:hAnsi="Times New Roman" w:cs="Times New Roman"/>
          <w:sz w:val="24"/>
          <w:szCs w:val="24"/>
        </w:rPr>
        <w:t xml:space="preserve"> </w:t>
      </w:r>
      <w:r w:rsidR="006A7C37" w:rsidRPr="00290DA8">
        <w:rPr>
          <w:rFonts w:ascii="Times New Roman" w:hAnsi="Times New Roman" w:cs="Times New Roman"/>
          <w:b/>
          <w:sz w:val="24"/>
          <w:szCs w:val="24"/>
        </w:rPr>
        <w:t>абсолютно точно</w:t>
      </w:r>
      <w:r w:rsidRPr="00850039">
        <w:rPr>
          <w:rFonts w:ascii="Times New Roman" w:hAnsi="Times New Roman" w:cs="Times New Roman"/>
          <w:sz w:val="24"/>
          <w:szCs w:val="24"/>
        </w:rPr>
        <w:t xml:space="preserve"> при извършване на съответното плащане</w:t>
      </w:r>
      <w:r w:rsidR="006A7C37">
        <w:rPr>
          <w:rFonts w:ascii="Times New Roman" w:hAnsi="Times New Roman" w:cs="Times New Roman"/>
          <w:sz w:val="24"/>
          <w:szCs w:val="24"/>
        </w:rPr>
        <w:t xml:space="preserve"> в началото на поле „основание за плащане</w:t>
      </w:r>
      <w:r w:rsidR="006A7C37" w:rsidRPr="00906CB5">
        <w:rPr>
          <w:rFonts w:ascii="Times New Roman" w:hAnsi="Times New Roman" w:cs="Times New Roman"/>
          <w:sz w:val="24"/>
          <w:szCs w:val="24"/>
        </w:rPr>
        <w:t>“</w:t>
      </w:r>
      <w:r w:rsidR="00906CB5" w:rsidRPr="00906CB5">
        <w:rPr>
          <w:rFonts w:ascii="Times New Roman" w:hAnsi="Times New Roman" w:cs="Times New Roman"/>
          <w:sz w:val="24"/>
          <w:szCs w:val="24"/>
        </w:rPr>
        <w:t xml:space="preserve"> на платежния документ</w:t>
      </w:r>
      <w:r w:rsidRPr="00906CB5">
        <w:rPr>
          <w:rFonts w:ascii="Times New Roman" w:hAnsi="Times New Roman" w:cs="Times New Roman"/>
          <w:sz w:val="24"/>
          <w:szCs w:val="24"/>
        </w:rPr>
        <w:t>.</w:t>
      </w:r>
    </w:p>
    <w:p w:rsidR="009426AF" w:rsidRPr="00850039" w:rsidRDefault="009426AF" w:rsidP="009426AF">
      <w:pPr>
        <w:jc w:val="both"/>
        <w:rPr>
          <w:sz w:val="23"/>
          <w:szCs w:val="23"/>
        </w:rPr>
      </w:pPr>
    </w:p>
    <w:p w:rsidR="009426AF" w:rsidRPr="00850039" w:rsidRDefault="009426AF" w:rsidP="009426AF">
      <w:pPr>
        <w:jc w:val="both"/>
        <w:rPr>
          <w:b/>
          <w:bCs/>
        </w:rPr>
      </w:pPr>
      <w:r w:rsidRPr="00850039">
        <w:rPr>
          <w:b/>
          <w:bCs/>
        </w:rPr>
        <w:t>Срокове за подаване на справки-декларации (СД)</w:t>
      </w:r>
    </w:p>
    <w:tbl>
      <w:tblPr>
        <w:tblW w:w="99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5269"/>
        <w:gridCol w:w="2971"/>
      </w:tblGrid>
      <w:tr w:rsidR="009426AF" w:rsidRPr="00850039" w:rsidTr="009426AF">
        <w:trPr>
          <w:trHeight w:val="331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Месец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Справка декларация – валута евро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Срок за подаване</w:t>
            </w:r>
          </w:p>
        </w:tc>
      </w:tr>
      <w:tr w:rsidR="009426AF" w:rsidRPr="00850039" w:rsidTr="009426AF">
        <w:trPr>
          <w:trHeight w:val="331"/>
        </w:trPr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Януари</w:t>
            </w:r>
          </w:p>
        </w:tc>
        <w:tc>
          <w:tcPr>
            <w:tcW w:w="5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28</w:t>
            </w:r>
            <w:r w:rsidRPr="00850039">
              <w:rPr>
                <w:b/>
                <w:bCs/>
                <w:vertAlign w:val="superscript"/>
              </w:rPr>
              <w:t>ти</w:t>
            </w:r>
            <w:r w:rsidRPr="00850039">
              <w:rPr>
                <w:b/>
                <w:bCs/>
              </w:rPr>
              <w:t xml:space="preserve"> (29</w:t>
            </w:r>
            <w:r w:rsidRPr="00850039">
              <w:rPr>
                <w:b/>
                <w:bCs/>
                <w:vertAlign w:val="superscript"/>
              </w:rPr>
              <w:t>ти</w:t>
            </w:r>
            <w:r w:rsidRPr="00850039">
              <w:rPr>
                <w:b/>
                <w:bCs/>
              </w:rPr>
              <w:t>) Февруари</w:t>
            </w:r>
          </w:p>
        </w:tc>
      </w:tr>
      <w:tr w:rsidR="009426AF" w:rsidRPr="00850039" w:rsidTr="009426AF">
        <w:trPr>
          <w:trHeight w:val="355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 xml:space="preserve">Февруари 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31</w:t>
            </w:r>
            <w:r w:rsidRPr="00850039">
              <w:rPr>
                <w:b/>
                <w:bCs/>
                <w:vertAlign w:val="superscript"/>
              </w:rPr>
              <w:t>ви</w:t>
            </w:r>
            <w:r w:rsidRPr="00850039">
              <w:rPr>
                <w:b/>
                <w:bCs/>
              </w:rPr>
              <w:t xml:space="preserve"> Март</w:t>
            </w:r>
          </w:p>
        </w:tc>
      </w:tr>
      <w:tr w:rsidR="009426AF" w:rsidRPr="00850039" w:rsidTr="009426AF">
        <w:trPr>
          <w:trHeight w:val="996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Март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Тримесечна СД за специален режим в Съюза;</w:t>
            </w:r>
          </w:p>
          <w:p w:rsidR="009426AF" w:rsidRPr="00850039" w:rsidRDefault="009426AF" w:rsidP="009426AF">
            <w:pPr>
              <w:jc w:val="both"/>
            </w:pPr>
            <w:r w:rsidRPr="00850039">
              <w:t>Тримесечна СД за специален режим извън Съюза;</w:t>
            </w:r>
          </w:p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30</w:t>
            </w:r>
            <w:r w:rsidRPr="00850039">
              <w:rPr>
                <w:b/>
                <w:bCs/>
                <w:vertAlign w:val="superscript"/>
              </w:rPr>
              <w:t>ти</w:t>
            </w:r>
            <w:r w:rsidRPr="00850039">
              <w:rPr>
                <w:b/>
                <w:bCs/>
              </w:rPr>
              <w:t xml:space="preserve"> Април</w:t>
            </w:r>
          </w:p>
        </w:tc>
      </w:tr>
      <w:tr w:rsidR="009426AF" w:rsidRPr="00850039" w:rsidTr="009426AF">
        <w:trPr>
          <w:trHeight w:val="355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Април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31</w:t>
            </w:r>
            <w:r w:rsidRPr="00850039">
              <w:rPr>
                <w:b/>
                <w:bCs/>
                <w:vertAlign w:val="superscript"/>
              </w:rPr>
              <w:t>ви</w:t>
            </w:r>
            <w:r w:rsidRPr="00850039">
              <w:rPr>
                <w:b/>
                <w:bCs/>
              </w:rPr>
              <w:t xml:space="preserve"> Май</w:t>
            </w:r>
          </w:p>
        </w:tc>
      </w:tr>
      <w:tr w:rsidR="009426AF" w:rsidRPr="00850039" w:rsidTr="009426AF">
        <w:trPr>
          <w:trHeight w:val="355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Май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30</w:t>
            </w:r>
            <w:r w:rsidRPr="00850039">
              <w:rPr>
                <w:b/>
                <w:bCs/>
                <w:vertAlign w:val="superscript"/>
              </w:rPr>
              <w:t>ти</w:t>
            </w:r>
            <w:r w:rsidRPr="00850039">
              <w:rPr>
                <w:b/>
                <w:bCs/>
              </w:rPr>
              <w:t xml:space="preserve"> Юни</w:t>
            </w:r>
          </w:p>
        </w:tc>
      </w:tr>
      <w:tr w:rsidR="009426AF" w:rsidRPr="00850039" w:rsidTr="009426AF">
        <w:trPr>
          <w:trHeight w:val="996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Юни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 xml:space="preserve">Тримесечна СД за специален режим в Съюза </w:t>
            </w:r>
          </w:p>
          <w:p w:rsidR="009426AF" w:rsidRPr="00850039" w:rsidRDefault="009426AF" w:rsidP="009426AF">
            <w:pPr>
              <w:jc w:val="both"/>
            </w:pPr>
            <w:r w:rsidRPr="00850039">
              <w:t>Тримесечна СД за специален режим извън Съюза</w:t>
            </w:r>
          </w:p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31</w:t>
            </w:r>
            <w:r w:rsidRPr="00850039">
              <w:rPr>
                <w:b/>
                <w:bCs/>
                <w:vertAlign w:val="superscript"/>
              </w:rPr>
              <w:t>ви</w:t>
            </w:r>
            <w:r w:rsidRPr="00850039">
              <w:rPr>
                <w:b/>
                <w:bCs/>
              </w:rPr>
              <w:t xml:space="preserve"> Юли</w:t>
            </w:r>
          </w:p>
        </w:tc>
      </w:tr>
      <w:tr w:rsidR="009426AF" w:rsidRPr="00850039" w:rsidTr="009426AF">
        <w:trPr>
          <w:trHeight w:val="355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Юли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31</w:t>
            </w:r>
            <w:r w:rsidRPr="00850039">
              <w:rPr>
                <w:b/>
                <w:bCs/>
                <w:vertAlign w:val="superscript"/>
              </w:rPr>
              <w:t>ви</w:t>
            </w:r>
            <w:r w:rsidRPr="00850039">
              <w:rPr>
                <w:b/>
                <w:bCs/>
              </w:rPr>
              <w:t xml:space="preserve"> Август</w:t>
            </w:r>
          </w:p>
        </w:tc>
      </w:tr>
      <w:tr w:rsidR="009426AF" w:rsidRPr="00850039" w:rsidTr="009426AF">
        <w:trPr>
          <w:trHeight w:val="355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Август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30</w:t>
            </w:r>
            <w:r w:rsidRPr="00850039">
              <w:rPr>
                <w:b/>
                <w:bCs/>
                <w:vertAlign w:val="superscript"/>
              </w:rPr>
              <w:t>ти</w:t>
            </w:r>
            <w:r w:rsidRPr="00850039">
              <w:rPr>
                <w:b/>
                <w:bCs/>
              </w:rPr>
              <w:t xml:space="preserve"> Септември</w:t>
            </w:r>
          </w:p>
        </w:tc>
      </w:tr>
      <w:tr w:rsidR="009426AF" w:rsidRPr="00850039" w:rsidTr="009426AF">
        <w:trPr>
          <w:trHeight w:val="996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Септември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 xml:space="preserve">Тримесечна СД за специален режим в Съюза </w:t>
            </w:r>
          </w:p>
          <w:p w:rsidR="009426AF" w:rsidRPr="00850039" w:rsidRDefault="009426AF" w:rsidP="009426AF">
            <w:pPr>
              <w:jc w:val="both"/>
            </w:pPr>
            <w:r w:rsidRPr="00850039">
              <w:t>Тримесечна СД за специален режим извън Съюза</w:t>
            </w:r>
          </w:p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31</w:t>
            </w:r>
            <w:r w:rsidRPr="00850039">
              <w:rPr>
                <w:b/>
                <w:bCs/>
                <w:vertAlign w:val="superscript"/>
              </w:rPr>
              <w:t>ви</w:t>
            </w:r>
            <w:r w:rsidRPr="00850039">
              <w:rPr>
                <w:b/>
                <w:bCs/>
              </w:rPr>
              <w:t xml:space="preserve"> Октомври</w:t>
            </w:r>
          </w:p>
        </w:tc>
      </w:tr>
      <w:tr w:rsidR="009426AF" w:rsidRPr="00850039" w:rsidTr="009426AF">
        <w:trPr>
          <w:trHeight w:val="355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Октомври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30</w:t>
            </w:r>
            <w:r w:rsidRPr="00850039">
              <w:rPr>
                <w:b/>
                <w:bCs/>
                <w:vertAlign w:val="superscript"/>
              </w:rPr>
              <w:t>ти</w:t>
            </w:r>
            <w:r w:rsidRPr="00850039">
              <w:rPr>
                <w:b/>
                <w:bCs/>
              </w:rPr>
              <w:t xml:space="preserve"> Ноември</w:t>
            </w:r>
          </w:p>
        </w:tc>
      </w:tr>
      <w:tr w:rsidR="009426AF" w:rsidRPr="00850039" w:rsidTr="009426AF">
        <w:trPr>
          <w:trHeight w:val="355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Ноември</w:t>
            </w:r>
          </w:p>
        </w:tc>
        <w:tc>
          <w:tcPr>
            <w:tcW w:w="5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31</w:t>
            </w:r>
            <w:r w:rsidRPr="00850039">
              <w:rPr>
                <w:b/>
                <w:bCs/>
                <w:vertAlign w:val="superscript"/>
              </w:rPr>
              <w:t>ви</w:t>
            </w:r>
            <w:r w:rsidRPr="00850039">
              <w:rPr>
                <w:b/>
                <w:bCs/>
              </w:rPr>
              <w:t xml:space="preserve"> Декември</w:t>
            </w:r>
          </w:p>
        </w:tc>
      </w:tr>
      <w:tr w:rsidR="009426AF" w:rsidRPr="00850039" w:rsidTr="009426AF">
        <w:trPr>
          <w:trHeight w:val="996"/>
        </w:trPr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Декември</w:t>
            </w:r>
          </w:p>
        </w:tc>
        <w:tc>
          <w:tcPr>
            <w:tcW w:w="5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Cs/>
              </w:rPr>
              <w:t xml:space="preserve">Тримесечна СД за специален режим в Съюза </w:t>
            </w:r>
          </w:p>
          <w:p w:rsidR="009426AF" w:rsidRPr="00850039" w:rsidRDefault="009426AF" w:rsidP="009426AF">
            <w:pPr>
              <w:jc w:val="both"/>
            </w:pPr>
            <w:r w:rsidRPr="00850039">
              <w:rPr>
                <w:bCs/>
              </w:rPr>
              <w:t>Тримесечна СД за специален режим извън Съюза</w:t>
            </w:r>
          </w:p>
          <w:p w:rsidR="009426AF" w:rsidRPr="00850039" w:rsidRDefault="009426AF" w:rsidP="009426AF">
            <w:pPr>
              <w:jc w:val="both"/>
            </w:pPr>
            <w:r w:rsidRPr="00850039">
              <w:rPr>
                <w:bCs/>
              </w:rPr>
              <w:t>Месечна СД за специален режим Внос</w:t>
            </w:r>
          </w:p>
        </w:tc>
        <w:tc>
          <w:tcPr>
            <w:tcW w:w="2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26AF" w:rsidRPr="00850039" w:rsidRDefault="009426AF" w:rsidP="009426AF">
            <w:pPr>
              <w:jc w:val="both"/>
            </w:pPr>
            <w:r w:rsidRPr="00850039">
              <w:rPr>
                <w:b/>
                <w:bCs/>
              </w:rPr>
              <w:t>31</w:t>
            </w:r>
            <w:r w:rsidRPr="00850039">
              <w:rPr>
                <w:b/>
                <w:bCs/>
                <w:vertAlign w:val="superscript"/>
              </w:rPr>
              <w:t>ви</w:t>
            </w:r>
            <w:r w:rsidRPr="00850039">
              <w:rPr>
                <w:b/>
                <w:bCs/>
              </w:rPr>
              <w:t xml:space="preserve"> Януари</w:t>
            </w:r>
          </w:p>
        </w:tc>
      </w:tr>
    </w:tbl>
    <w:p w:rsidR="009426AF" w:rsidRPr="00850039" w:rsidRDefault="009426AF" w:rsidP="009426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55" w:rsidRDefault="00906CB5" w:rsidP="0013505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CB5">
        <w:rPr>
          <w:rFonts w:ascii="Times New Roman" w:hAnsi="Times New Roman" w:cs="Times New Roman"/>
          <w:b/>
          <w:color w:val="000000"/>
          <w:sz w:val="24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35055">
        <w:rPr>
          <w:rFonts w:ascii="Times New Roman" w:hAnsi="Times New Roman" w:cs="Times New Roman"/>
          <w:color w:val="000000"/>
          <w:sz w:val="24"/>
          <w:szCs w:val="24"/>
        </w:rPr>
        <w:t>Следва да се има предвид, че к</w:t>
      </w:r>
      <w:r w:rsidR="00135055" w:rsidRPr="00135055">
        <w:rPr>
          <w:rFonts w:ascii="Times New Roman" w:hAnsi="Times New Roman" w:cs="Times New Roman"/>
          <w:color w:val="000000"/>
          <w:sz w:val="24"/>
          <w:szCs w:val="24"/>
        </w:rPr>
        <w:t>райният срок за подаване на справка-декларацията не се променя, ако тази дата се падне в почивен ден или на официален празник.</w:t>
      </w:r>
    </w:p>
    <w:p w:rsidR="00064584" w:rsidRPr="00850039" w:rsidRDefault="009426AF" w:rsidP="0006458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039">
        <w:rPr>
          <w:rFonts w:ascii="Times New Roman" w:hAnsi="Times New Roman" w:cs="Times New Roman"/>
          <w:color w:val="000000"/>
          <w:sz w:val="24"/>
          <w:szCs w:val="24"/>
        </w:rPr>
        <w:t>Ако данъчно</w:t>
      </w:r>
      <w:r w:rsidR="00BE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039">
        <w:rPr>
          <w:rFonts w:ascii="Times New Roman" w:hAnsi="Times New Roman" w:cs="Times New Roman"/>
          <w:color w:val="000000"/>
          <w:sz w:val="24"/>
          <w:szCs w:val="24"/>
        </w:rPr>
        <w:t>задълженото лице/посредникът не е подало/подал справка-декларация навреме, държавата членка по идентификация издава напомняне на данъчно задълженото лице/посредника да подаде справка-декларация. Това напомняне се изпраща по електронен път на десетия ден след датата, на която справка-декларацията е трябвало да бъде подадена.</w:t>
      </w:r>
      <w:r w:rsidR="00064584" w:rsidRPr="00850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584" w:rsidRPr="00850039">
        <w:rPr>
          <w:rFonts w:ascii="Times New Roman" w:hAnsi="Times New Roman" w:cs="Times New Roman"/>
          <w:sz w:val="24"/>
          <w:szCs w:val="24"/>
        </w:rPr>
        <w:t xml:space="preserve">Всички следващи напомняния се издават от държавата членка или държавите членки по потребление. Всички наложени санкции и разноски, свързани с подадени със закъснение справки-декларации, са от компетентността на държавата членка по потребление в съответствие с нейните правила и процедури. </w:t>
      </w:r>
      <w:r w:rsidR="00064584" w:rsidRPr="00850039">
        <w:rPr>
          <w:rFonts w:ascii="Times New Roman" w:hAnsi="Times New Roman" w:cs="Times New Roman"/>
          <w:color w:val="000000"/>
          <w:sz w:val="24"/>
          <w:szCs w:val="24"/>
        </w:rPr>
        <w:t xml:space="preserve">Следва да се има предвид, че ако данъчно задълженото лице получи напомняне </w:t>
      </w:r>
      <w:r w:rsidR="00064584" w:rsidRPr="00906CB5">
        <w:rPr>
          <w:rFonts w:ascii="Times New Roman" w:hAnsi="Times New Roman" w:cs="Times New Roman"/>
          <w:b/>
          <w:color w:val="000000"/>
          <w:sz w:val="24"/>
          <w:szCs w:val="24"/>
        </w:rPr>
        <w:t>за три</w:t>
      </w:r>
      <w:r w:rsidR="00064584" w:rsidRPr="00850039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последователни периода за деклариране и не подаде справка-декларацията в срок от 10 дни от издаването на всяко от тези напомняния, се счита, че то системно не спазва правилата на режима и съответно подлежи на дерегистрация.</w:t>
      </w:r>
    </w:p>
    <w:p w:rsidR="00FB4486" w:rsidRDefault="00FB4486" w:rsidP="00064584">
      <w:pPr>
        <w:spacing w:line="360" w:lineRule="auto"/>
        <w:jc w:val="both"/>
        <w:rPr>
          <w:rFonts w:ascii="Times New Roman" w:hAnsi="Times New Roman" w:cs="Times New Roman"/>
          <w:b/>
          <w:color w:val="2D74B5"/>
          <w:sz w:val="24"/>
          <w:szCs w:val="24"/>
        </w:rPr>
      </w:pPr>
    </w:p>
    <w:p w:rsidR="00064584" w:rsidRPr="00300EA5" w:rsidRDefault="00064584" w:rsidP="00064584">
      <w:pPr>
        <w:spacing w:line="360" w:lineRule="auto"/>
        <w:jc w:val="both"/>
        <w:rPr>
          <w:rFonts w:ascii="Times New Roman" w:hAnsi="Times New Roman" w:cs="Times New Roman"/>
          <w:b/>
          <w:color w:val="2D74B5"/>
          <w:sz w:val="24"/>
          <w:szCs w:val="24"/>
        </w:rPr>
      </w:pPr>
      <w:r w:rsidRPr="00300EA5">
        <w:rPr>
          <w:rFonts w:ascii="Times New Roman" w:hAnsi="Times New Roman" w:cs="Times New Roman"/>
          <w:b/>
          <w:color w:val="2D74B5"/>
          <w:sz w:val="24"/>
          <w:szCs w:val="24"/>
        </w:rPr>
        <w:t xml:space="preserve">Каква информация трябва да бъде включена в справка-декларацията за </w:t>
      </w:r>
      <w:r w:rsidR="00916F79" w:rsidRPr="00300EA5">
        <w:rPr>
          <w:rFonts w:ascii="Times New Roman" w:hAnsi="Times New Roman" w:cs="Times New Roman"/>
          <w:b/>
          <w:color w:val="2D74B5"/>
          <w:sz w:val="24"/>
          <w:szCs w:val="24"/>
        </w:rPr>
        <w:t>прилагане на съответен специален</w:t>
      </w:r>
      <w:r w:rsidRPr="00300EA5">
        <w:rPr>
          <w:rFonts w:ascii="Times New Roman" w:hAnsi="Times New Roman" w:cs="Times New Roman"/>
          <w:b/>
          <w:color w:val="2D74B5"/>
          <w:sz w:val="24"/>
          <w:szCs w:val="24"/>
        </w:rPr>
        <w:t xml:space="preserve"> режим?</w:t>
      </w:r>
    </w:p>
    <w:p w:rsidR="00064584" w:rsidRPr="00850039" w:rsidRDefault="00064584" w:rsidP="00064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039">
        <w:rPr>
          <w:rFonts w:ascii="Times New Roman" w:hAnsi="Times New Roman" w:cs="Times New Roman"/>
          <w:sz w:val="24"/>
          <w:szCs w:val="24"/>
        </w:rPr>
        <w:t>Точните данни са посочени в приложение III към Регламент за изпълнение (ЕС) 2020/194 на Комисията и са имплементирани в Приложение 31, Прило</w:t>
      </w:r>
      <w:r w:rsidR="00FB4486">
        <w:rPr>
          <w:rFonts w:ascii="Times New Roman" w:hAnsi="Times New Roman" w:cs="Times New Roman"/>
          <w:sz w:val="24"/>
          <w:szCs w:val="24"/>
        </w:rPr>
        <w:t>жение 32 и Приложение 46 от Пра</w:t>
      </w:r>
      <w:r w:rsidRPr="00850039">
        <w:rPr>
          <w:rFonts w:ascii="Times New Roman" w:hAnsi="Times New Roman" w:cs="Times New Roman"/>
          <w:sz w:val="24"/>
          <w:szCs w:val="24"/>
        </w:rPr>
        <w:t>вилника за прилагане на З</w:t>
      </w:r>
      <w:r w:rsidR="008E1DC0">
        <w:rPr>
          <w:rFonts w:ascii="Times New Roman" w:hAnsi="Times New Roman" w:cs="Times New Roman"/>
          <w:sz w:val="24"/>
          <w:szCs w:val="24"/>
        </w:rPr>
        <w:t>акона за данъка върху добавената стойност</w:t>
      </w:r>
      <w:r w:rsidRPr="00850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584" w:rsidRPr="00850039" w:rsidRDefault="00064584" w:rsidP="00064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A5">
        <w:rPr>
          <w:rFonts w:ascii="Times New Roman" w:hAnsi="Times New Roman" w:cs="Times New Roman"/>
          <w:b/>
          <w:sz w:val="24"/>
          <w:szCs w:val="24"/>
        </w:rPr>
        <w:t>Най-важното</w:t>
      </w:r>
      <w:r w:rsidRPr="00850039">
        <w:rPr>
          <w:rFonts w:ascii="Times New Roman" w:hAnsi="Times New Roman" w:cs="Times New Roman"/>
          <w:sz w:val="24"/>
          <w:szCs w:val="24"/>
        </w:rPr>
        <w:t>: данъчно задълженото лице трябва да впише данъчната основа за доставките при стандартната и при намалената ставка, както и размера на</w:t>
      </w:r>
      <w:r w:rsidR="008E1DC0" w:rsidRPr="008E1DC0">
        <w:t xml:space="preserve"> </w:t>
      </w:r>
      <w:r w:rsidR="008E1DC0" w:rsidRPr="008E1DC0">
        <w:rPr>
          <w:rFonts w:ascii="Times New Roman" w:hAnsi="Times New Roman" w:cs="Times New Roman"/>
          <w:sz w:val="24"/>
          <w:szCs w:val="24"/>
        </w:rPr>
        <w:t>данъка върху добавената стойност</w:t>
      </w:r>
      <w:r w:rsidRPr="00850039">
        <w:rPr>
          <w:rFonts w:ascii="Times New Roman" w:hAnsi="Times New Roman" w:cs="Times New Roman"/>
          <w:sz w:val="24"/>
          <w:szCs w:val="24"/>
        </w:rPr>
        <w:t xml:space="preserve"> при стандартната и при намалената ставка</w:t>
      </w:r>
      <w:r w:rsidR="00906CB5" w:rsidRPr="00906CB5">
        <w:rPr>
          <w:rFonts w:ascii="Times New Roman" w:hAnsi="Times New Roman" w:cs="Times New Roman"/>
          <w:sz w:val="24"/>
          <w:szCs w:val="24"/>
        </w:rPr>
        <w:t xml:space="preserve"> </w:t>
      </w:r>
      <w:r w:rsidR="00906CB5" w:rsidRPr="00850039">
        <w:rPr>
          <w:rFonts w:ascii="Times New Roman" w:hAnsi="Times New Roman" w:cs="Times New Roman"/>
          <w:sz w:val="24"/>
          <w:szCs w:val="24"/>
        </w:rPr>
        <w:t>за всяка държава членка по потребление</w:t>
      </w:r>
      <w:r w:rsidRPr="00850039">
        <w:rPr>
          <w:rFonts w:ascii="Times New Roman" w:hAnsi="Times New Roman" w:cs="Times New Roman"/>
          <w:sz w:val="24"/>
          <w:szCs w:val="24"/>
        </w:rPr>
        <w:t xml:space="preserve">. Ставките на </w:t>
      </w:r>
      <w:r w:rsidR="008E1DC0" w:rsidRPr="008E1DC0">
        <w:rPr>
          <w:rFonts w:ascii="Times New Roman" w:hAnsi="Times New Roman" w:cs="Times New Roman"/>
          <w:sz w:val="24"/>
          <w:szCs w:val="24"/>
        </w:rPr>
        <w:t>данъка върху добавената стойност</w:t>
      </w:r>
      <w:r w:rsidRPr="00850039">
        <w:rPr>
          <w:rFonts w:ascii="Times New Roman" w:hAnsi="Times New Roman" w:cs="Times New Roman"/>
          <w:sz w:val="24"/>
          <w:szCs w:val="24"/>
        </w:rPr>
        <w:t xml:space="preserve"> за всяка държава членка са публикувани в базата данни „Данъци в Европа“ (TEDB). Тя може да бъде открита </w:t>
      </w:r>
      <w:r w:rsidR="00906CB5">
        <w:rPr>
          <w:rFonts w:ascii="Times New Roman" w:hAnsi="Times New Roman" w:cs="Times New Roman"/>
          <w:sz w:val="24"/>
          <w:szCs w:val="24"/>
        </w:rPr>
        <w:t xml:space="preserve">и </w:t>
      </w:r>
      <w:r w:rsidRPr="00850039">
        <w:rPr>
          <w:rFonts w:ascii="Times New Roman" w:hAnsi="Times New Roman" w:cs="Times New Roman"/>
          <w:sz w:val="24"/>
          <w:szCs w:val="24"/>
        </w:rPr>
        <w:t>на</w:t>
      </w:r>
      <w:r w:rsidR="00906CB5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850039">
        <w:rPr>
          <w:rFonts w:ascii="Times New Roman" w:hAnsi="Times New Roman" w:cs="Times New Roman"/>
          <w:sz w:val="24"/>
          <w:szCs w:val="24"/>
        </w:rPr>
        <w:t>:</w:t>
      </w:r>
    </w:p>
    <w:p w:rsidR="00064584" w:rsidRPr="00850039" w:rsidRDefault="007E1A8B" w:rsidP="00064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TEDB - "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Taxes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Europe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" 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database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Taxation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Customs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>Union</w:t>
        </w:r>
        <w:proofErr w:type="spellEnd"/>
        <w:r w:rsidR="00064584" w:rsidRPr="008500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(europa.eu)</w:t>
        </w:r>
      </w:hyperlink>
    </w:p>
    <w:p w:rsidR="00064584" w:rsidRPr="00850039" w:rsidRDefault="00906CB5" w:rsidP="00064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CB5">
        <w:rPr>
          <w:rFonts w:ascii="Times New Roman" w:hAnsi="Times New Roman" w:cs="Times New Roman"/>
          <w:b/>
          <w:sz w:val="24"/>
          <w:szCs w:val="24"/>
        </w:rPr>
        <w:t>ВАЖНО:</w:t>
      </w:r>
      <w:r w:rsidR="00064584" w:rsidRPr="00850039">
        <w:rPr>
          <w:rFonts w:ascii="Times New Roman" w:hAnsi="Times New Roman" w:cs="Times New Roman"/>
          <w:sz w:val="24"/>
          <w:szCs w:val="24"/>
        </w:rPr>
        <w:t xml:space="preserve"> 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След подаване на справка-декларацията за </w:t>
      </w:r>
      <w:r w:rsidR="00E506FA">
        <w:rPr>
          <w:rFonts w:ascii="Times New Roman" w:hAnsi="Times New Roman" w:cs="Times New Roman"/>
          <w:b/>
          <w:sz w:val="24"/>
          <w:szCs w:val="24"/>
        </w:rPr>
        <w:t xml:space="preserve">прилагане на 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>съответ</w:t>
      </w:r>
      <w:r w:rsidR="00E506FA">
        <w:rPr>
          <w:rFonts w:ascii="Times New Roman" w:hAnsi="Times New Roman" w:cs="Times New Roman"/>
          <w:b/>
          <w:sz w:val="24"/>
          <w:szCs w:val="24"/>
        </w:rPr>
        <w:t>ен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="00300EA5">
        <w:rPr>
          <w:rFonts w:ascii="Times New Roman" w:hAnsi="Times New Roman" w:cs="Times New Roman"/>
          <w:b/>
          <w:sz w:val="24"/>
          <w:szCs w:val="24"/>
        </w:rPr>
        <w:t>е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циален режим, ще получите съобщение с уникалният референтен номер за тази справка-декларация. Този номер задължително следва да бъде посочен в референцията когато се извършва съответното плащане към НАП. </w:t>
      </w:r>
      <w:r w:rsidR="00064584" w:rsidRPr="00850039">
        <w:rPr>
          <w:rFonts w:ascii="Times New Roman" w:hAnsi="Times New Roman" w:cs="Times New Roman"/>
          <w:sz w:val="24"/>
          <w:szCs w:val="24"/>
        </w:rPr>
        <w:t xml:space="preserve">Номерът се състои от кода на държавата членка по идентификация, индивидуалния идентификационен номер за целите на ДДС на данъчно задълженото лице и периода за деклариране. </w:t>
      </w:r>
    </w:p>
    <w:p w:rsidR="00064584" w:rsidRDefault="00906CB5" w:rsidP="000645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B5">
        <w:rPr>
          <w:rFonts w:ascii="Times New Roman" w:hAnsi="Times New Roman" w:cs="Times New Roman"/>
          <w:b/>
          <w:sz w:val="24"/>
          <w:szCs w:val="24"/>
        </w:rPr>
        <w:t>ВАЖНО</w:t>
      </w:r>
      <w:r w:rsidR="00064584" w:rsidRPr="00850039">
        <w:rPr>
          <w:rFonts w:ascii="Times New Roman" w:hAnsi="Times New Roman" w:cs="Times New Roman"/>
          <w:sz w:val="24"/>
          <w:szCs w:val="24"/>
        </w:rPr>
        <w:t xml:space="preserve">: Справка-декларацията за </w:t>
      </w:r>
      <w:r w:rsidR="00E506FA" w:rsidRPr="00E506FA">
        <w:rPr>
          <w:rFonts w:ascii="Times New Roman" w:hAnsi="Times New Roman" w:cs="Times New Roman"/>
          <w:sz w:val="24"/>
          <w:szCs w:val="24"/>
        </w:rPr>
        <w:t>прилагане на съответен специален режим</w:t>
      </w:r>
      <w:r w:rsidR="00064584" w:rsidRPr="00850039">
        <w:rPr>
          <w:rFonts w:ascii="Times New Roman" w:hAnsi="Times New Roman" w:cs="Times New Roman"/>
          <w:sz w:val="24"/>
          <w:szCs w:val="24"/>
        </w:rPr>
        <w:t xml:space="preserve"> може да бъде коригирана по всяко време, преди да бъде подадена.  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>Ако справка</w:t>
      </w:r>
      <w:r w:rsidR="00D72C41" w:rsidRPr="00850039">
        <w:rPr>
          <w:rFonts w:ascii="Times New Roman" w:hAnsi="Times New Roman" w:cs="Times New Roman"/>
          <w:b/>
          <w:sz w:val="24"/>
          <w:szCs w:val="24"/>
        </w:rPr>
        <w:t>-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  <w:r w:rsidR="00E506FA">
        <w:rPr>
          <w:rFonts w:ascii="Times New Roman" w:hAnsi="Times New Roman" w:cs="Times New Roman"/>
          <w:b/>
          <w:sz w:val="24"/>
          <w:szCs w:val="24"/>
        </w:rPr>
        <w:t>прилагане на съответен специален режим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 вече е подадена, корекции в справки</w:t>
      </w:r>
      <w:r w:rsidR="00E506FA">
        <w:rPr>
          <w:rFonts w:ascii="Times New Roman" w:hAnsi="Times New Roman" w:cs="Times New Roman"/>
          <w:b/>
          <w:sz w:val="24"/>
          <w:szCs w:val="24"/>
        </w:rPr>
        <w:t>-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декларации за </w:t>
      </w:r>
      <w:r w:rsidR="00E506FA" w:rsidRPr="00E506FA">
        <w:rPr>
          <w:rFonts w:ascii="Times New Roman" w:hAnsi="Times New Roman" w:cs="Times New Roman"/>
          <w:b/>
          <w:sz w:val="24"/>
          <w:szCs w:val="24"/>
        </w:rPr>
        <w:t>прилагане на съотве</w:t>
      </w:r>
      <w:r w:rsidR="00E506FA">
        <w:rPr>
          <w:rFonts w:ascii="Times New Roman" w:hAnsi="Times New Roman" w:cs="Times New Roman"/>
          <w:b/>
          <w:sz w:val="24"/>
          <w:szCs w:val="24"/>
        </w:rPr>
        <w:t>тен</w:t>
      </w:r>
      <w:r w:rsidR="00E506FA" w:rsidRPr="00E506FA">
        <w:rPr>
          <w:rFonts w:ascii="Times New Roman" w:hAnsi="Times New Roman" w:cs="Times New Roman"/>
          <w:b/>
          <w:sz w:val="24"/>
          <w:szCs w:val="24"/>
        </w:rPr>
        <w:t xml:space="preserve"> специален режим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 за данъчни периоди, </w:t>
      </w:r>
      <w:r w:rsidR="00E506FA">
        <w:rPr>
          <w:rFonts w:ascii="Times New Roman" w:hAnsi="Times New Roman" w:cs="Times New Roman"/>
          <w:b/>
          <w:sz w:val="24"/>
          <w:szCs w:val="24"/>
        </w:rPr>
        <w:t>след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27" w:rsidRPr="001E6B27">
        <w:rPr>
          <w:rFonts w:ascii="Times New Roman" w:hAnsi="Times New Roman" w:cs="Times New Roman"/>
          <w:b/>
          <w:sz w:val="24"/>
          <w:szCs w:val="24"/>
        </w:rPr>
        <w:t>30 юни 2021 г.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C41" w:rsidRPr="00850039">
        <w:rPr>
          <w:rFonts w:ascii="Times New Roman" w:hAnsi="Times New Roman" w:cs="Times New Roman"/>
          <w:b/>
          <w:sz w:val="24"/>
          <w:szCs w:val="24"/>
        </w:rPr>
        <w:t>могат да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 xml:space="preserve"> бъдат направени </w:t>
      </w:r>
      <w:r w:rsidR="00D72C41" w:rsidRPr="00850039">
        <w:rPr>
          <w:rFonts w:ascii="Times New Roman" w:hAnsi="Times New Roman" w:cs="Times New Roman"/>
          <w:b/>
          <w:sz w:val="24"/>
          <w:szCs w:val="24"/>
        </w:rPr>
        <w:t>само в по</w:t>
      </w:r>
      <w:r w:rsidR="00064584" w:rsidRPr="00850039">
        <w:rPr>
          <w:rFonts w:ascii="Times New Roman" w:hAnsi="Times New Roman" w:cs="Times New Roman"/>
          <w:b/>
          <w:sz w:val="24"/>
          <w:szCs w:val="24"/>
        </w:rPr>
        <w:t>следваща справка-декларация.</w:t>
      </w:r>
    </w:p>
    <w:p w:rsidR="001E6B27" w:rsidRPr="001E6B27" w:rsidRDefault="001E6B27" w:rsidP="001E6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27">
        <w:rPr>
          <w:rFonts w:ascii="Times New Roman" w:hAnsi="Times New Roman" w:cs="Times New Roman"/>
          <w:sz w:val="24"/>
          <w:szCs w:val="24"/>
        </w:rPr>
        <w:t xml:space="preserve">Корекциите в справки-декларации за прилагане на съответен специален режим, отнасящи се за данъчни периоди до 30 юни 2021 г. включително, трябва да бъдат направени чрез корекция на първоначалната справка-декларация. Това е от значение само за справки-декларации, подавани по режима MOSS (съкратено обслужване на едно гише), т.е. за доставки на </w:t>
      </w:r>
      <w:r w:rsidR="00906CB5" w:rsidRPr="00906CB5">
        <w:rPr>
          <w:rFonts w:ascii="Times New Roman" w:hAnsi="Times New Roman" w:cs="Times New Roman"/>
          <w:sz w:val="24"/>
          <w:szCs w:val="24"/>
        </w:rPr>
        <w:t>телекомуникационните, услугите за радио- и телевизионно излъчване или услугите, извършвани по електронен път (TBE услуги)</w:t>
      </w:r>
      <w:r w:rsidR="00906CB5" w:rsidRPr="00906CB5" w:rsidDel="00906CB5">
        <w:rPr>
          <w:rFonts w:ascii="Times New Roman" w:hAnsi="Times New Roman" w:cs="Times New Roman"/>
          <w:sz w:val="24"/>
          <w:szCs w:val="24"/>
        </w:rPr>
        <w:t xml:space="preserve"> </w:t>
      </w:r>
      <w:r w:rsidRPr="001E6B27">
        <w:rPr>
          <w:rFonts w:ascii="Times New Roman" w:hAnsi="Times New Roman" w:cs="Times New Roman"/>
          <w:sz w:val="24"/>
          <w:szCs w:val="24"/>
        </w:rPr>
        <w:t>на данъчно незадължени лица (</w:t>
      </w:r>
      <w:r>
        <w:rPr>
          <w:rFonts w:ascii="Times New Roman" w:hAnsi="Times New Roman" w:cs="Times New Roman"/>
          <w:sz w:val="24"/>
          <w:szCs w:val="24"/>
        </w:rPr>
        <w:t xml:space="preserve">специален </w:t>
      </w:r>
      <w:r w:rsidRPr="001E6B27">
        <w:rPr>
          <w:rFonts w:ascii="Times New Roman" w:hAnsi="Times New Roman" w:cs="Times New Roman"/>
          <w:sz w:val="24"/>
          <w:szCs w:val="24"/>
        </w:rPr>
        <w:t xml:space="preserve">режим извън Съюза и </w:t>
      </w:r>
      <w:r>
        <w:rPr>
          <w:rFonts w:ascii="Times New Roman" w:hAnsi="Times New Roman" w:cs="Times New Roman"/>
          <w:sz w:val="24"/>
          <w:szCs w:val="24"/>
        </w:rPr>
        <w:t xml:space="preserve">специален </w:t>
      </w:r>
      <w:r w:rsidRPr="001E6B27">
        <w:rPr>
          <w:rFonts w:ascii="Times New Roman" w:hAnsi="Times New Roman" w:cs="Times New Roman"/>
          <w:sz w:val="24"/>
          <w:szCs w:val="24"/>
        </w:rPr>
        <w:t>режим в Съюза).</w:t>
      </w:r>
    </w:p>
    <w:p w:rsidR="00D72C41" w:rsidRDefault="00906CB5" w:rsidP="000645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039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="00D72C41" w:rsidRPr="00850039">
        <w:rPr>
          <w:rFonts w:ascii="Times New Roman" w:hAnsi="Times New Roman" w:cs="Times New Roman"/>
          <w:b/>
          <w:sz w:val="24"/>
          <w:szCs w:val="24"/>
        </w:rPr>
        <w:t xml:space="preserve">Справка-декларацията </w:t>
      </w:r>
      <w:r w:rsidR="001E6B27" w:rsidRPr="001E6B27">
        <w:rPr>
          <w:rFonts w:ascii="Times New Roman" w:hAnsi="Times New Roman" w:cs="Times New Roman"/>
          <w:b/>
          <w:sz w:val="24"/>
          <w:szCs w:val="24"/>
        </w:rPr>
        <w:t>за прилагане на съответен специален режим</w:t>
      </w:r>
      <w:r w:rsidR="00D72C41" w:rsidRPr="00850039">
        <w:rPr>
          <w:rFonts w:ascii="Times New Roman" w:hAnsi="Times New Roman" w:cs="Times New Roman"/>
          <w:b/>
          <w:sz w:val="24"/>
          <w:szCs w:val="24"/>
        </w:rPr>
        <w:t xml:space="preserve"> трябва да се съставя в евро.</w:t>
      </w:r>
    </w:p>
    <w:p w:rsidR="008E1DC0" w:rsidRDefault="008E1DC0" w:rsidP="008E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C0">
        <w:rPr>
          <w:rFonts w:ascii="Times New Roman" w:hAnsi="Times New Roman" w:cs="Times New Roman"/>
          <w:sz w:val="24"/>
          <w:szCs w:val="24"/>
        </w:rPr>
        <w:t>Повече информация относно справки-декларациите за прилагане на специалните режими може да бъде намерена в част 2 „Справки-декларации за ДДС по режима за обслужване на едно гише“ на</w:t>
      </w:r>
      <w:r w:rsidRPr="008E1DC0">
        <w:t xml:space="preserve"> </w:t>
      </w:r>
      <w:r w:rsidRPr="008E1DC0">
        <w:rPr>
          <w:rFonts w:ascii="Times New Roman" w:hAnsi="Times New Roman" w:cs="Times New Roman"/>
          <w:sz w:val="24"/>
          <w:szCs w:val="24"/>
        </w:rPr>
        <w:t xml:space="preserve">Ръководство за обслужването на едно гише във връзка с </w:t>
      </w:r>
      <w:r>
        <w:rPr>
          <w:rFonts w:ascii="Times New Roman" w:hAnsi="Times New Roman" w:cs="Times New Roman"/>
          <w:sz w:val="24"/>
          <w:szCs w:val="24"/>
        </w:rPr>
        <w:t>данъка върху добавената стойност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изго</w:t>
      </w:r>
      <w:r w:rsidR="00FB44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вено от Европейската комисия: </w:t>
      </w:r>
      <w:hyperlink r:id="rId7" w:history="1">
        <w:r w:rsidRPr="00F856C6">
          <w:rPr>
            <w:rStyle w:val="Hyperlink"/>
            <w:rFonts w:ascii="Times New Roman" w:hAnsi="Times New Roman" w:cs="Times New Roman"/>
            <w:sz w:val="24"/>
            <w:szCs w:val="24"/>
          </w:rPr>
          <w:t>https://nra.bg/wps/wcm/connect/nra.bg25863/92bf1ff0-aee0-4e52-88c2-7aa553301564/oss_guidelines_bg.pdf?MOD=AJPERES</w:t>
        </w:r>
      </w:hyperlink>
      <w:r w:rsidRPr="008E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C0" w:rsidRPr="008E1DC0" w:rsidRDefault="008E1DC0" w:rsidP="008E1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C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sectPr w:rsidR="008E1DC0" w:rsidRPr="008E1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8B" w:rsidRDefault="007E1A8B" w:rsidP="002832D7">
      <w:pPr>
        <w:spacing w:after="0" w:line="240" w:lineRule="auto"/>
      </w:pPr>
      <w:r>
        <w:separator/>
      </w:r>
    </w:p>
  </w:endnote>
  <w:endnote w:type="continuationSeparator" w:id="0">
    <w:p w:rsidR="007E1A8B" w:rsidRDefault="007E1A8B" w:rsidP="002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442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2D7" w:rsidRDefault="00283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F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32D7" w:rsidRDefault="0028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8B" w:rsidRDefault="007E1A8B" w:rsidP="002832D7">
      <w:pPr>
        <w:spacing w:after="0" w:line="240" w:lineRule="auto"/>
      </w:pPr>
      <w:r>
        <w:separator/>
      </w:r>
    </w:p>
  </w:footnote>
  <w:footnote w:type="continuationSeparator" w:id="0">
    <w:p w:rsidR="007E1A8B" w:rsidRDefault="007E1A8B" w:rsidP="0028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F"/>
    <w:rsid w:val="00064584"/>
    <w:rsid w:val="000F2ACD"/>
    <w:rsid w:val="00135055"/>
    <w:rsid w:val="001B2095"/>
    <w:rsid w:val="001E3EB0"/>
    <w:rsid w:val="001E6B27"/>
    <w:rsid w:val="002832D7"/>
    <w:rsid w:val="00290DA8"/>
    <w:rsid w:val="00300EA5"/>
    <w:rsid w:val="005B317B"/>
    <w:rsid w:val="006A7C37"/>
    <w:rsid w:val="007E1A8B"/>
    <w:rsid w:val="00850039"/>
    <w:rsid w:val="008C6D4A"/>
    <w:rsid w:val="008E1DC0"/>
    <w:rsid w:val="00906CB5"/>
    <w:rsid w:val="00916F79"/>
    <w:rsid w:val="009426AF"/>
    <w:rsid w:val="00AD1CBC"/>
    <w:rsid w:val="00AE27D3"/>
    <w:rsid w:val="00BA1985"/>
    <w:rsid w:val="00BE1514"/>
    <w:rsid w:val="00D72C41"/>
    <w:rsid w:val="00E506FA"/>
    <w:rsid w:val="00F46FA3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DAEA"/>
  <w15:chartTrackingRefBased/>
  <w15:docId w15:val="{33A86B52-8692-440C-8EAE-154D686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45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5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D7"/>
  </w:style>
  <w:style w:type="paragraph" w:styleId="Footer">
    <w:name w:val="footer"/>
    <w:basedOn w:val="Normal"/>
    <w:link w:val="FooterChar"/>
    <w:uiPriority w:val="99"/>
    <w:unhideWhenUsed/>
    <w:rsid w:val="0028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ra.bg/wps/wcm/connect/nra.bg25863/92bf1ff0-aee0-4e52-88c2-7aa553301564/oss_guidelines_bg.pdf?MOD=AJPE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taxation_customs/economic-analysis-taxation/taxes-europe-database-tedb_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МИНЧО МИРОВ МУСКУРОВ</dc:creator>
  <cp:keywords/>
  <dc:description/>
  <cp:lastModifiedBy>СВЕТЛАНА ВАСИЛЕВА БОЯДЖИЕВА</cp:lastModifiedBy>
  <cp:revision>3</cp:revision>
  <dcterms:created xsi:type="dcterms:W3CDTF">2021-08-25T07:19:00Z</dcterms:created>
  <dcterms:modified xsi:type="dcterms:W3CDTF">2021-08-27T12:30:00Z</dcterms:modified>
</cp:coreProperties>
</file>