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25" w:rsidRDefault="007E3125" w:rsidP="007E3125">
      <w:pPr>
        <w:pStyle w:val="Heading110"/>
        <w:keepNext/>
        <w:keepLines/>
      </w:pPr>
      <w:bookmarkStart w:id="0" w:name="bookmark0"/>
      <w:r>
        <w:rPr>
          <w:rStyle w:val="Heading11"/>
          <w:b/>
        </w:rPr>
        <w:t>Насоки за отчитане на един и същ получател</w:t>
      </w:r>
      <w:r>
        <w:rPr>
          <w:rStyle w:val="Heading11"/>
          <w:b/>
        </w:rPr>
        <w:br/>
        <w:t>с няколко трансакции</w:t>
      </w:r>
      <w:bookmarkEnd w:id="0"/>
    </w:p>
    <w:p w:rsidR="007E3125" w:rsidRDefault="007E3125" w:rsidP="007E3125">
      <w:pPr>
        <w:pStyle w:val="Bodytext10"/>
        <w:jc w:val="both"/>
      </w:pPr>
      <w:r>
        <w:rPr>
          <w:rStyle w:val="Bodytext1"/>
        </w:rPr>
        <w:t xml:space="preserve">В отговор на скорошни запитвания и искания от определени доставчици на платежни услуги (ДПУ), предоставяме разяснения и насоки относно отчитането на множество </w:t>
      </w:r>
      <w:r>
        <w:rPr>
          <w:rStyle w:val="Bodytext1"/>
        </w:rPr>
        <w:t>тран</w:t>
      </w:r>
      <w:r>
        <w:rPr>
          <w:rStyle w:val="Bodytext1"/>
        </w:rPr>
        <w:t>с</w:t>
      </w:r>
      <w:r>
        <w:rPr>
          <w:rStyle w:val="Bodytext1"/>
        </w:rPr>
        <w:t xml:space="preserve">акции </w:t>
      </w:r>
      <w:r>
        <w:rPr>
          <w:rStyle w:val="Bodytext1"/>
        </w:rPr>
        <w:t>за един и същ получател.</w:t>
      </w:r>
    </w:p>
    <w:p w:rsidR="007E3125" w:rsidRPr="00041FC4" w:rsidRDefault="007E3125" w:rsidP="007E3125">
      <w:pPr>
        <w:pStyle w:val="Bodytext10"/>
        <w:jc w:val="both"/>
        <w:rPr>
          <w:color w:val="000000"/>
        </w:rPr>
      </w:pPr>
      <w:r>
        <w:rPr>
          <w:rStyle w:val="Bodytext1"/>
          <w:color w:val="000000"/>
        </w:rPr>
        <w:t>Настоящият формат CESOP XSD 4.02 (но също 4.01 и 4.00) изисква отчитане на множество трансакции по</w:t>
      </w:r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</w:rPr>
        <w:t xml:space="preserve">сметка. </w:t>
      </w:r>
      <w:r>
        <w:t xml:space="preserve">Това подчертава важността за </w:t>
      </w:r>
      <w:r w:rsidRPr="00041FC4">
        <w:rPr>
          <w:rStyle w:val="Bodytext1"/>
          <w:color w:val="000000"/>
          <w:u w:val="single"/>
        </w:rPr>
        <w:t>ДПУ</w:t>
      </w:r>
      <w:r>
        <w:t xml:space="preserve"> да консолидират всички тран</w:t>
      </w:r>
      <w:r>
        <w:rPr>
          <w:lang w:val="en-US"/>
        </w:rPr>
        <w:t>c</w:t>
      </w:r>
      <w:r>
        <w:t xml:space="preserve">акции за една сметка под един и същ </w:t>
      </w:r>
      <w:r>
        <w:rPr>
          <w:rStyle w:val="Bodytext1"/>
          <w:b/>
          <w:color w:val="000000"/>
          <w:u w:val="single"/>
        </w:rPr>
        <w:t>отчетен получател</w:t>
      </w:r>
      <w:r>
        <w:t xml:space="preserve"> </w:t>
      </w:r>
      <w:r>
        <w:rPr>
          <w:lang w:val="en-US"/>
        </w:rPr>
        <w:t>(</w:t>
      </w:r>
      <w:r>
        <w:t>елемент ReportedPayee</w:t>
      </w:r>
      <w:r>
        <w:rPr>
          <w:lang w:val="en-US"/>
        </w:rPr>
        <w:t>)</w:t>
      </w:r>
      <w:r>
        <w:t>.</w:t>
      </w:r>
    </w:p>
    <w:p w:rsidR="007E3125" w:rsidRDefault="007E3125" w:rsidP="007E3125">
      <w:pPr>
        <w:pStyle w:val="Bodytext10"/>
        <w:jc w:val="both"/>
      </w:pPr>
      <w:r>
        <w:rPr>
          <w:rStyle w:val="Bodytext1"/>
          <w:color w:val="000000"/>
        </w:rPr>
        <w:t>Това гарантира, че всяко предприятие (определено най-малко от едно и също име и идентификационен номер на сметката) се отчита веднъж, като всички свързани сделки се консолидират в рамките на посоченото дуо за идентификация на получателя/сметката. Този подход помага да се избегне дублиране на докладването на едно и също име и идентификатор на профила.</w:t>
      </w:r>
    </w:p>
    <w:p w:rsidR="007E3125" w:rsidRPr="00041FC4" w:rsidRDefault="007E3125" w:rsidP="007E3125">
      <w:pPr>
        <w:pStyle w:val="Bodytext10"/>
        <w:jc w:val="both"/>
      </w:pPr>
      <w:r w:rsidRPr="004D676F">
        <w:rPr>
          <w:rStyle w:val="Bodytext1"/>
        </w:rPr>
        <w:t>Следователно отчитането на базата на тран</w:t>
      </w:r>
      <w:r>
        <w:rPr>
          <w:rStyle w:val="Bodytext1"/>
        </w:rPr>
        <w:t>с</w:t>
      </w:r>
      <w:r w:rsidRPr="004D676F">
        <w:rPr>
          <w:rStyle w:val="Bodytext1"/>
        </w:rPr>
        <w:t>акция, а не по получател, представлява неправилен метод за отчитане и може да доведе до код за грешка</w:t>
      </w:r>
      <w:r>
        <w:rPr>
          <w:rStyle w:val="Bodytext1"/>
        </w:rPr>
        <w:t>. Когато един и същ отчетен платец е посочен няколко пъти, веднъж за всяка трансакция, попадаща в една и съща сметка, това води до излишни данни, по-големи размери на файловете, възможни повече грешки и допълнителна тежест за докладващия ДПУ и CESOP. XML файловете, които възприемат този подход, могат да задействат код за грешка „99999“, което пречи на CESOP ефективно да обработва съобщението.</w:t>
      </w:r>
    </w:p>
    <w:p w:rsidR="00596612" w:rsidRDefault="007E3125" w:rsidP="007E3125">
      <w:pPr>
        <w:ind w:left="-5" w:right="2"/>
      </w:pPr>
      <w:r>
        <w:rPr>
          <w:rStyle w:val="Bodytext1"/>
        </w:rPr>
        <w:t xml:space="preserve">В допълнение към предоставените по-рано примери за правилно форматирани XML (публикувани на уебсайта на Комисията), по-долу представяме </w:t>
      </w:r>
      <w:r>
        <w:rPr>
          <w:rStyle w:val="Bodytext1"/>
          <w:b/>
        </w:rPr>
        <w:t>случай 1</w:t>
      </w:r>
      <w:r>
        <w:rPr>
          <w:rStyle w:val="Bodytext1"/>
        </w:rPr>
        <w:t xml:space="preserve">, включващ идентични получатели на плащания с различни сметки, и </w:t>
      </w:r>
      <w:r>
        <w:rPr>
          <w:rStyle w:val="Bodytext1"/>
          <w:b/>
        </w:rPr>
        <w:t xml:space="preserve">случай 2 с </w:t>
      </w:r>
      <w:r>
        <w:rPr>
          <w:rStyle w:val="Bodytext1"/>
          <w:b/>
          <w:color w:val="FF0000"/>
        </w:rPr>
        <w:t xml:space="preserve">неправилен начин на отчитане </w:t>
      </w:r>
      <w:r>
        <w:rPr>
          <w:rStyle w:val="Bodytext1"/>
          <w:b/>
        </w:rPr>
        <w:t xml:space="preserve">и </w:t>
      </w:r>
      <w:r>
        <w:rPr>
          <w:rStyle w:val="Bodytext1"/>
          <w:b/>
          <w:color w:val="339966"/>
        </w:rPr>
        <w:t>правилния начин на отчитане</w:t>
      </w:r>
      <w:r>
        <w:rPr>
          <w:rStyle w:val="Bodytext1"/>
          <w:b/>
        </w:rPr>
        <w:t>, когато множество транзакции се отнасят до един и същ получател по една и съща сметка</w:t>
      </w:r>
      <w:r>
        <w:br w:type="page"/>
      </w:r>
    </w:p>
    <w:p w:rsidR="007E3125" w:rsidRPr="007E3125" w:rsidRDefault="007E3125" w:rsidP="007E3125">
      <w:pPr>
        <w:pStyle w:val="Heading210"/>
        <w:keepNext/>
        <w:keepLines/>
        <w:rPr>
          <w:b w:val="0"/>
        </w:rPr>
      </w:pPr>
      <w:bookmarkStart w:id="1" w:name="bookmark2"/>
      <w:r w:rsidRPr="007E3125">
        <w:rPr>
          <w:rStyle w:val="Heading21"/>
          <w:b/>
        </w:rPr>
        <w:lastRenderedPageBreak/>
        <w:t>1 Случай 1 — Различни идентификатори на партиди — Разделете отчетените трансакции</w:t>
      </w:r>
      <w:bookmarkEnd w:id="1"/>
    </w:p>
    <w:p w:rsidR="007E3125" w:rsidRDefault="007E3125" w:rsidP="007E3125">
      <w:pPr>
        <w:pStyle w:val="Bodytext10"/>
        <w:spacing w:after="500"/>
        <w:jc w:val="both"/>
        <w:rPr>
          <w:rStyle w:val="Bodytext1"/>
          <w:color w:val="000000"/>
        </w:rPr>
      </w:pPr>
      <w:r>
        <w:rPr>
          <w:rStyle w:val="Bodytext1"/>
        </w:rPr>
        <w:t xml:space="preserve">Първият случай представлява ситуация, при която отчитането на отчетените трансакции между различни сходни получатели е валидно, особено когато едни и същи получатели се отчитат с </w:t>
      </w:r>
      <w:r>
        <w:rPr>
          <w:rStyle w:val="Bodytext1"/>
          <w:b/>
          <w:u w:val="single"/>
        </w:rPr>
        <w:t xml:space="preserve">различен идентификатор на сметка </w:t>
      </w:r>
      <w:r>
        <w:rPr>
          <w:rStyle w:val="Bodytext1"/>
          <w:color w:val="0000FF"/>
          <w:u w:val="single"/>
          <w:vertAlign w:val="superscript"/>
        </w:rPr>
        <w:t>1</w:t>
      </w:r>
      <w:r>
        <w:rPr>
          <w:rStyle w:val="Bodytext1"/>
          <w:color w:val="0000FF"/>
        </w:rPr>
        <w:t xml:space="preserve"> </w:t>
      </w:r>
      <w:r>
        <w:rPr>
          <w:rStyle w:val="Bodytext1"/>
          <w:color w:val="000000"/>
        </w:rPr>
        <w:t>(вж.</w:t>
      </w:r>
      <w:hyperlink r:id="rId5" w:history="1">
        <w:r>
          <w:rPr>
            <w:rStyle w:val="Bodytext1"/>
            <w:color w:val="000000"/>
          </w:rPr>
          <w:t xml:space="preserve"> </w:t>
        </w:r>
        <w:r>
          <w:rPr>
            <w:rStyle w:val="Bodytext1"/>
            <w:color w:val="0000FF"/>
            <w:u w:val="single"/>
          </w:rPr>
          <w:t>SameRP_DifferentAccounts.xml</w:t>
        </w:r>
        <w:r>
          <w:rPr>
            <w:rStyle w:val="Bodytext1"/>
            <w:color w:val="000000"/>
          </w:rPr>
          <w:t>)</w:t>
        </w:r>
      </w:hyperlink>
      <w:r>
        <w:rPr>
          <w:rStyle w:val="Bodytext1"/>
          <w:color w:val="000000"/>
        </w:rPr>
        <w:t>.</w:t>
      </w:r>
    </w:p>
    <w:p w:rsidR="00596612" w:rsidRDefault="007E312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tbl>
      <w:tblPr>
        <w:tblStyle w:val="TableGrid"/>
        <w:tblW w:w="8486" w:type="dxa"/>
        <w:tblInd w:w="6" w:type="dxa"/>
        <w:tblCellMar>
          <w:top w:w="39" w:type="dxa"/>
          <w:left w:w="28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5307"/>
      </w:tblGrid>
      <w:tr w:rsidR="00596612">
        <w:trPr>
          <w:trHeight w:val="630"/>
        </w:trPr>
        <w:tc>
          <w:tcPr>
            <w:tcW w:w="3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0"/>
          </w:tcPr>
          <w:p w:rsidR="007E3125" w:rsidRDefault="007E3125" w:rsidP="007E3125">
            <w:pPr>
              <w:pStyle w:val="Bodytext10"/>
              <w:spacing w:after="0"/>
            </w:pPr>
            <w:r>
              <w:rPr>
                <w:rStyle w:val="Bodytext1"/>
                <w:b/>
                <w:color w:val="262626"/>
              </w:rPr>
              <w:t>Първи отчетен получател</w:t>
            </w:r>
          </w:p>
          <w:p w:rsidR="00596612" w:rsidRDefault="005966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0"/>
          </w:tcPr>
          <w:p w:rsidR="00596612" w:rsidRPr="007E3125" w:rsidRDefault="007E3125">
            <w:pPr>
              <w:spacing w:after="0" w:line="259" w:lineRule="auto"/>
              <w:ind w:left="1" w:right="0" w:firstLine="0"/>
              <w:jc w:val="left"/>
              <w:rPr>
                <w:b/>
              </w:rPr>
            </w:pPr>
            <w:r w:rsidRPr="007E3125">
              <w:rPr>
                <w:b/>
              </w:rPr>
              <w:t>2-ри отчетен получател (със сметка, различна от първата)</w:t>
            </w:r>
          </w:p>
        </w:tc>
      </w:tr>
      <w:tr w:rsidR="00596612" w:rsidTr="007E3125">
        <w:trPr>
          <w:trHeight w:val="2286"/>
        </w:trPr>
        <w:tc>
          <w:tcPr>
            <w:tcW w:w="3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596612" w:rsidRDefault="007E3125">
            <w:pPr>
              <w:spacing w:after="0" w:line="259" w:lineRule="auto"/>
              <w:ind w:left="0" w:right="-2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55317" cy="1137920"/>
                  <wp:effectExtent l="0" t="0" r="0" b="0"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17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596612" w:rsidRDefault="007E3125">
            <w:pPr>
              <w:spacing w:after="0" w:line="259" w:lineRule="auto"/>
              <w:ind w:left="0" w:right="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00450" cy="1653974"/>
                  <wp:effectExtent l="0" t="0" r="0" b="381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38" cy="166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</w:tbl>
    <w:p w:rsidR="00596612" w:rsidRDefault="007E3125">
      <w:r>
        <w:br w:type="page"/>
      </w:r>
    </w:p>
    <w:p w:rsidR="00596612" w:rsidRDefault="007E3125">
      <w:pPr>
        <w:spacing w:after="8"/>
        <w:ind w:left="-5" w:right="2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7E3125" w:rsidRDefault="007E3125" w:rsidP="007E3125">
      <w:pPr>
        <w:pStyle w:val="Heading210"/>
        <w:keepNext/>
        <w:keepLines/>
        <w:jc w:val="both"/>
      </w:pPr>
      <w:bookmarkStart w:id="2" w:name="bookmark6"/>
      <w:r>
        <w:rPr>
          <w:rStyle w:val="Heading21"/>
        </w:rPr>
        <w:t>2 Случай 2 — Идентификатор на една и съща партида — консолидиране на отчетените трансакции</w:t>
      </w:r>
      <w:bookmarkEnd w:id="2"/>
    </w:p>
    <w:p w:rsidR="007E3125" w:rsidRDefault="007E3125" w:rsidP="007E3125">
      <w:pPr>
        <w:pStyle w:val="Bodytext10"/>
        <w:spacing w:after="160"/>
        <w:jc w:val="both"/>
      </w:pPr>
      <w:r>
        <w:rPr>
          <w:rStyle w:val="Bodytext1"/>
        </w:rPr>
        <w:t xml:space="preserve">Вторият случай представлява ситуация, при която разделянето на отчетените трансакции между различни сходни получатели е </w:t>
      </w:r>
      <w:r>
        <w:rPr>
          <w:rStyle w:val="Bodytext1"/>
          <w:b/>
          <w:u w:val="single"/>
        </w:rPr>
        <w:t>невалидно</w:t>
      </w:r>
      <w:r>
        <w:rPr>
          <w:rStyle w:val="Bodytext1"/>
        </w:rPr>
        <w:t xml:space="preserve">, особено когато едни и същи получатели се отчитат с </w:t>
      </w:r>
      <w:r>
        <w:rPr>
          <w:rStyle w:val="Bodytext1"/>
          <w:b/>
          <w:u w:val="single"/>
        </w:rPr>
        <w:t>един и същ номер на сметка (</w:t>
      </w:r>
      <w:r>
        <w:rPr>
          <w:rStyle w:val="Bodytext1"/>
          <w:b/>
          <w:color w:val="FF0000"/>
          <w:u w:val="single"/>
        </w:rPr>
        <w:t>неправилен начин на отчитане</w:t>
      </w:r>
      <w:r>
        <w:rPr>
          <w:rStyle w:val="Bodytext1"/>
          <w:b/>
          <w:u w:val="single"/>
        </w:rPr>
        <w:t>)</w:t>
      </w:r>
      <w:r>
        <w:rPr>
          <w:rStyle w:val="Bodytext1"/>
          <w:b/>
        </w:rPr>
        <w:t xml:space="preserve"> </w:t>
      </w:r>
      <w:r>
        <w:rPr>
          <w:rStyle w:val="Bodytext1"/>
        </w:rPr>
        <w:t>(вж.</w:t>
      </w:r>
      <w:hyperlink r:id="rId8" w:history="1">
        <w:r>
          <w:rPr>
            <w:rStyle w:val="Bodytext1"/>
          </w:rPr>
          <w:t xml:space="preserve"> </w:t>
        </w:r>
        <w:r>
          <w:rPr>
            <w:rStyle w:val="Bodytext1"/>
            <w:u w:val="single"/>
          </w:rPr>
          <w:t>SameRP_SameAccounts.xml</w:t>
        </w:r>
        <w:r>
          <w:rPr>
            <w:rStyle w:val="Bodytext1"/>
          </w:rPr>
          <w:t>)</w:t>
        </w:r>
      </w:hyperlink>
      <w:r>
        <w:rPr>
          <w:rStyle w:val="Bodytext1"/>
        </w:rPr>
        <w:t>.</w:t>
      </w:r>
    </w:p>
    <w:tbl>
      <w:tblPr>
        <w:tblStyle w:val="TableGrid"/>
        <w:tblW w:w="8486" w:type="dxa"/>
        <w:tblInd w:w="6" w:type="dxa"/>
        <w:tblCellMar>
          <w:top w:w="42" w:type="dxa"/>
          <w:left w:w="28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4949"/>
      </w:tblGrid>
      <w:tr w:rsidR="00596612">
        <w:trPr>
          <w:trHeight w:val="630"/>
        </w:trPr>
        <w:tc>
          <w:tcPr>
            <w:tcW w:w="3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0"/>
          </w:tcPr>
          <w:p w:rsidR="00596612" w:rsidRPr="007E3125" w:rsidRDefault="007E312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7E3125">
              <w:rPr>
                <w:b/>
              </w:rPr>
              <w:t>Първи отчетен получател</w:t>
            </w:r>
          </w:p>
        </w:tc>
        <w:tc>
          <w:tcPr>
            <w:tcW w:w="4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0"/>
          </w:tcPr>
          <w:p w:rsidR="00596612" w:rsidRDefault="007E3125">
            <w:pPr>
              <w:spacing w:after="0" w:line="259" w:lineRule="auto"/>
              <w:ind w:left="1" w:right="0" w:firstLine="0"/>
              <w:jc w:val="left"/>
            </w:pPr>
            <w:r w:rsidRPr="007E3125">
              <w:rPr>
                <w:b/>
              </w:rPr>
              <w:t>2-ри отчетен получател (със сметка, различна от първата)</w:t>
            </w:r>
          </w:p>
        </w:tc>
      </w:tr>
      <w:tr w:rsidR="00596612">
        <w:trPr>
          <w:trHeight w:val="2734"/>
        </w:trPr>
        <w:tc>
          <w:tcPr>
            <w:tcW w:w="35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596612" w:rsidRDefault="007E3125">
            <w:pPr>
              <w:spacing w:after="0" w:line="259" w:lineRule="auto"/>
              <w:ind w:left="0" w:right="-2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06879" cy="1156335"/>
                  <wp:effectExtent l="0" t="0" r="0" b="0"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79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596612" w:rsidRDefault="007E312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85211" cy="1615440"/>
                  <wp:effectExtent l="0" t="0" r="0" b="0"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11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</w:tbl>
    <w:p w:rsidR="007E3125" w:rsidRPr="007E3125" w:rsidRDefault="007E3125" w:rsidP="007E3125">
      <w:pPr>
        <w:widowControl w:val="0"/>
        <w:spacing w:after="120" w:line="240" w:lineRule="auto"/>
        <w:ind w:left="0" w:right="0" w:firstLine="0"/>
        <w:jc w:val="left"/>
        <w:rPr>
          <w:szCs w:val="20"/>
          <w:lang w:val="bg"/>
        </w:rPr>
      </w:pPr>
      <w:r w:rsidRPr="007E3125">
        <w:rPr>
          <w:szCs w:val="20"/>
          <w:lang w:val="bg"/>
        </w:rPr>
        <w:t>Тази практика се счита за неподходяща от системата CESOP и потенциално би могла да доведе до грешка „99999“, възпрепятстваща обработката на съобщението от CESOP.</w:t>
      </w:r>
    </w:p>
    <w:p w:rsidR="007E3125" w:rsidRPr="007E3125" w:rsidRDefault="007E3125" w:rsidP="007E3125">
      <w:pPr>
        <w:widowControl w:val="0"/>
        <w:spacing w:after="120" w:line="240" w:lineRule="auto"/>
        <w:ind w:left="0" w:right="0" w:firstLine="0"/>
        <w:jc w:val="left"/>
        <w:rPr>
          <w:szCs w:val="20"/>
          <w:lang w:val="bg"/>
        </w:rPr>
      </w:pPr>
      <w:r w:rsidRPr="007E3125">
        <w:rPr>
          <w:szCs w:val="20"/>
          <w:lang w:val="bg"/>
        </w:rPr>
        <w:t>Силно препоръчително е тези данни да се консолидират в един-единствен отчетен получател, както е показано по-долу (</w:t>
      </w:r>
      <w:r w:rsidRPr="007E3125">
        <w:rPr>
          <w:b/>
          <w:color w:val="339966"/>
          <w:szCs w:val="20"/>
          <w:lang w:val="bg"/>
        </w:rPr>
        <w:t>правилен начин на отчитане</w:t>
      </w:r>
      <w:r w:rsidRPr="007E3125">
        <w:rPr>
          <w:szCs w:val="20"/>
          <w:lang w:val="bg"/>
        </w:rPr>
        <w:t xml:space="preserve">) </w:t>
      </w:r>
      <w:r w:rsidRPr="007E3125">
        <w:rPr>
          <w:color w:val="000000"/>
          <w:szCs w:val="20"/>
          <w:lang w:val="bg"/>
        </w:rPr>
        <w:t>(вж.</w:t>
      </w:r>
      <w:hyperlink r:id="rId11" w:history="1">
        <w:r w:rsidRPr="007E3125">
          <w:rPr>
            <w:color w:val="000000"/>
            <w:szCs w:val="20"/>
            <w:lang w:val="bg"/>
          </w:rPr>
          <w:t xml:space="preserve"> </w:t>
        </w:r>
        <w:r w:rsidRPr="007E3125">
          <w:rPr>
            <w:color w:val="0000FF"/>
            <w:szCs w:val="20"/>
            <w:u w:val="single"/>
            <w:lang w:val="bg"/>
          </w:rPr>
          <w:t>UniqueRP_SameAccount.xml</w:t>
        </w:r>
        <w:r w:rsidRPr="007E3125">
          <w:rPr>
            <w:color w:val="000000"/>
            <w:szCs w:val="20"/>
            <w:u w:val="single"/>
            <w:lang w:val="bg"/>
          </w:rPr>
          <w:t>)</w:t>
        </w:r>
      </w:hyperlink>
      <w:r w:rsidRPr="007E3125">
        <w:rPr>
          <w:color w:val="000000"/>
          <w:szCs w:val="20"/>
          <w:lang w:val="bg"/>
        </w:rPr>
        <w:t>:</w:t>
      </w:r>
    </w:p>
    <w:tbl>
      <w:tblPr>
        <w:tblStyle w:val="TableGrid"/>
        <w:tblW w:w="8485" w:type="dxa"/>
        <w:tblInd w:w="6" w:type="dxa"/>
        <w:tblCellMar>
          <w:top w:w="42" w:type="dxa"/>
          <w:left w:w="2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485"/>
      </w:tblGrid>
      <w:tr w:rsidR="00596612">
        <w:trPr>
          <w:trHeight w:val="400"/>
        </w:trPr>
        <w:tc>
          <w:tcPr>
            <w:tcW w:w="8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0F0F0"/>
          </w:tcPr>
          <w:p w:rsidR="007E3125" w:rsidRPr="007E3125" w:rsidRDefault="007E3125" w:rsidP="007E3125">
            <w:pPr>
              <w:keepNext/>
              <w:keepLines/>
              <w:widowControl w:val="0"/>
              <w:spacing w:after="180" w:line="240" w:lineRule="auto"/>
              <w:ind w:left="0" w:right="0" w:firstLine="0"/>
              <w:jc w:val="left"/>
              <w:outlineLvl w:val="2"/>
              <w:rPr>
                <w:b/>
                <w:color w:val="262626"/>
                <w:szCs w:val="20"/>
                <w:lang w:val="bg"/>
              </w:rPr>
            </w:pPr>
            <w:bookmarkStart w:id="3" w:name="bookmark10"/>
            <w:r w:rsidRPr="007E3125">
              <w:rPr>
                <w:b/>
                <w:color w:val="262626"/>
                <w:szCs w:val="20"/>
                <w:lang w:val="bg"/>
              </w:rPr>
              <w:lastRenderedPageBreak/>
              <w:t>Първи и единствен отчетен получател</w:t>
            </w:r>
            <w:bookmarkEnd w:id="3"/>
          </w:p>
          <w:p w:rsidR="00596612" w:rsidRDefault="005966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96612">
        <w:trPr>
          <w:trHeight w:val="6973"/>
        </w:trPr>
        <w:tc>
          <w:tcPr>
            <w:tcW w:w="8485" w:type="dxa"/>
            <w:tcBorders>
              <w:top w:val="single" w:sz="4" w:space="0" w:color="DDDDDD"/>
              <w:left w:val="single" w:sz="4" w:space="0" w:color="DDDDDD"/>
              <w:bottom w:val="single" w:sz="6" w:space="0" w:color="808080"/>
              <w:right w:val="single" w:sz="4" w:space="0" w:color="DDDDDD"/>
            </w:tcBorders>
          </w:tcPr>
          <w:p w:rsidR="00596612" w:rsidRDefault="007E3125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44541" cy="4305300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541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612" w:rsidRDefault="007E312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596612" w:rsidRDefault="007E3125" w:rsidP="007E3125">
      <w:pPr>
        <w:pStyle w:val="ListParagraph"/>
        <w:numPr>
          <w:ilvl w:val="0"/>
          <w:numId w:val="2"/>
        </w:numPr>
        <w:spacing w:after="120" w:line="241" w:lineRule="auto"/>
        <w:ind w:right="5"/>
      </w:pPr>
      <w:bookmarkStart w:id="4" w:name="_GoBack"/>
      <w:bookmarkEnd w:id="4"/>
      <w:r w:rsidRPr="007E3125">
        <w:rPr>
          <w:rStyle w:val="Bodytext1"/>
          <w:color w:val="000000"/>
        </w:rPr>
        <w:t>Имайте предвид, че с предстоящата версия на XSD ще бъде разрешено да се отчита получател с няколко идентификатора на сметка. С тази версия ще бъде силно препоръчително да се консолидира информацията и по този начин да се докладва веднъж на същия получател, с всички транзакции под всеки различен идентификатор на сметка, отнасящи се до получателя.</w:t>
      </w:r>
    </w:p>
    <w:sectPr w:rsidR="00596612">
      <w:pgSz w:w="11899" w:h="16838"/>
      <w:pgMar w:top="1447" w:right="1690" w:bottom="1468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279"/>
    <w:multiLevelType w:val="hybridMultilevel"/>
    <w:tmpl w:val="26C6C4B0"/>
    <w:lvl w:ilvl="0" w:tplc="0C6C0B34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50D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0863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C20E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BC1C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B865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8EC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8A8D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882E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B585A"/>
    <w:multiLevelType w:val="hybridMultilevel"/>
    <w:tmpl w:val="C5C0CE1C"/>
    <w:lvl w:ilvl="0" w:tplc="F7925D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2"/>
    <w:rsid w:val="00596612"/>
    <w:rsid w:val="007E3125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95E"/>
  <w15:docId w15:val="{962D32FB-148F-474E-842D-9038C01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50" w:lineRule="auto"/>
      <w:ind w:left="10" w:right="11" w:hanging="10"/>
      <w:jc w:val="both"/>
    </w:pPr>
    <w:rPr>
      <w:rFonts w:ascii="Arial" w:eastAsia="Arial" w:hAnsi="Arial" w:cs="Arial"/>
      <w:color w:val="0D0D0D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72" w:line="276" w:lineRule="auto"/>
      <w:ind w:left="442" w:hanging="442"/>
      <w:outlineLvl w:val="0"/>
    </w:pPr>
    <w:rPr>
      <w:rFonts w:ascii="Arial" w:eastAsia="Arial" w:hAnsi="Arial" w:cs="Arial"/>
      <w:b/>
      <w:color w:val="4040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0404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1">
    <w:name w:val="Heading #1|1_"/>
    <w:basedOn w:val="DefaultParagraphFont"/>
    <w:link w:val="Heading110"/>
    <w:rsid w:val="007E3125"/>
    <w:rPr>
      <w:rFonts w:ascii="Arial" w:eastAsia="Arial" w:hAnsi="Arial" w:cs="Arial"/>
      <w:b/>
      <w:color w:val="404040"/>
      <w:sz w:val="48"/>
    </w:rPr>
  </w:style>
  <w:style w:type="character" w:customStyle="1" w:styleId="Bodytext1">
    <w:name w:val="Body text|1_"/>
    <w:basedOn w:val="DefaultParagraphFont"/>
    <w:link w:val="Bodytext10"/>
    <w:rsid w:val="007E3125"/>
    <w:rPr>
      <w:rFonts w:ascii="Arial" w:eastAsia="Arial" w:hAnsi="Arial" w:cs="Arial"/>
      <w:color w:val="0D0D0D"/>
      <w:sz w:val="20"/>
    </w:rPr>
  </w:style>
  <w:style w:type="paragraph" w:customStyle="1" w:styleId="Heading110">
    <w:name w:val="Heading #1|1"/>
    <w:basedOn w:val="Normal"/>
    <w:link w:val="Heading11"/>
    <w:rsid w:val="007E3125"/>
    <w:pPr>
      <w:widowControl w:val="0"/>
      <w:spacing w:after="460" w:line="240" w:lineRule="auto"/>
      <w:ind w:left="0" w:right="0" w:firstLine="0"/>
      <w:jc w:val="center"/>
      <w:outlineLvl w:val="0"/>
    </w:pPr>
    <w:rPr>
      <w:b/>
      <w:color w:val="404040"/>
      <w:sz w:val="48"/>
    </w:rPr>
  </w:style>
  <w:style w:type="paragraph" w:customStyle="1" w:styleId="Bodytext10">
    <w:name w:val="Body text|1"/>
    <w:basedOn w:val="Normal"/>
    <w:link w:val="Bodytext1"/>
    <w:rsid w:val="007E3125"/>
    <w:pPr>
      <w:widowControl w:val="0"/>
      <w:spacing w:after="120" w:line="240" w:lineRule="auto"/>
      <w:ind w:left="0" w:right="0" w:firstLine="0"/>
      <w:jc w:val="left"/>
    </w:pPr>
  </w:style>
  <w:style w:type="character" w:customStyle="1" w:styleId="Heading21">
    <w:name w:val="Heading #2|1_"/>
    <w:basedOn w:val="DefaultParagraphFont"/>
    <w:link w:val="Heading210"/>
    <w:rsid w:val="007E3125"/>
    <w:rPr>
      <w:rFonts w:ascii="Arial" w:eastAsia="Arial" w:hAnsi="Arial" w:cs="Arial"/>
      <w:b/>
      <w:color w:val="404040"/>
      <w:sz w:val="32"/>
    </w:rPr>
  </w:style>
  <w:style w:type="character" w:customStyle="1" w:styleId="Heading31">
    <w:name w:val="Heading #3|1_"/>
    <w:basedOn w:val="DefaultParagraphFont"/>
    <w:link w:val="Heading310"/>
    <w:rsid w:val="007E3125"/>
    <w:rPr>
      <w:rFonts w:ascii="Arial" w:eastAsia="Arial" w:hAnsi="Arial" w:cs="Arial"/>
      <w:b/>
      <w:color w:val="262626"/>
      <w:sz w:val="20"/>
    </w:rPr>
  </w:style>
  <w:style w:type="paragraph" w:customStyle="1" w:styleId="Heading210">
    <w:name w:val="Heading #2|1"/>
    <w:basedOn w:val="Normal"/>
    <w:link w:val="Heading21"/>
    <w:rsid w:val="007E3125"/>
    <w:pPr>
      <w:widowControl w:val="0"/>
      <w:spacing w:after="240" w:line="240" w:lineRule="auto"/>
      <w:ind w:left="460" w:right="0" w:hanging="460"/>
      <w:jc w:val="left"/>
      <w:outlineLvl w:val="1"/>
    </w:pPr>
    <w:rPr>
      <w:b/>
      <w:color w:val="404040"/>
      <w:sz w:val="32"/>
    </w:rPr>
  </w:style>
  <w:style w:type="paragraph" w:customStyle="1" w:styleId="Heading310">
    <w:name w:val="Heading #3|1"/>
    <w:basedOn w:val="Normal"/>
    <w:link w:val="Heading31"/>
    <w:rsid w:val="007E3125"/>
    <w:pPr>
      <w:widowControl w:val="0"/>
      <w:spacing w:after="270" w:line="240" w:lineRule="auto"/>
      <w:ind w:left="3560" w:right="0" w:hanging="2040"/>
      <w:jc w:val="left"/>
      <w:outlineLvl w:val="2"/>
    </w:pPr>
    <w:rPr>
      <w:b/>
      <w:color w:val="262626"/>
    </w:rPr>
  </w:style>
  <w:style w:type="paragraph" w:styleId="ListParagraph">
    <w:name w:val="List Paragraph"/>
    <w:basedOn w:val="Normal"/>
    <w:uiPriority w:val="34"/>
    <w:qFormat/>
    <w:rsid w:val="007E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almtaxud/confluence/download/attachments/121374292/SameRP_SameAccounts.xml?api=v2&amp;modificationDate=1711638193701&amp;version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ebgate.ec.europa.eu/almtaxud/confluence/download/attachments/121374292/UniqueRP_SameAccount.xml?api=v2&amp;modificationDate=1711638574354&amp;version=1" TargetMode="External"/><Relationship Id="rId5" Type="http://schemas.openxmlformats.org/officeDocument/2006/relationships/hyperlink" Target="https://webgate.ec.europa.eu/almtaxud/confluence/download/attachments/121374292/SameRP_DifferentAccounts.xml?api=v2&amp;modificationDate=1711635807944&amp;version=1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cp:lastModifiedBy>ВП</cp:lastModifiedBy>
  <cp:revision>3</cp:revision>
  <dcterms:created xsi:type="dcterms:W3CDTF">2024-04-17T11:04:00Z</dcterms:created>
  <dcterms:modified xsi:type="dcterms:W3CDTF">2024-04-17T11:20:00Z</dcterms:modified>
</cp:coreProperties>
</file>