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8" w:rsidRPr="00B412A6" w:rsidRDefault="007D4588" w:rsidP="00A03D33">
      <w:pPr>
        <w:spacing w:line="360" w:lineRule="auto"/>
        <w:rPr>
          <w:sz w:val="24"/>
          <w:szCs w:val="24"/>
        </w:rPr>
      </w:pPr>
    </w:p>
    <w:p w:rsidR="00A03D33" w:rsidRPr="00B412A6" w:rsidRDefault="003F26A3" w:rsidP="007F3FC2">
      <w:pPr>
        <w:spacing w:line="360" w:lineRule="auto"/>
        <w:ind w:firstLine="4962"/>
        <w:rPr>
          <w:sz w:val="24"/>
          <w:szCs w:val="24"/>
        </w:rPr>
      </w:pPr>
      <w:r>
        <w:rPr>
          <w:b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4pt;height:95.65pt">
            <v:imagedata r:id="rId8" o:title=""/>
            <o:lock v:ext="edit" ungrouping="t" rotation="t" cropping="t" verticies="t" grouping="t"/>
            <o:signatureline v:ext="edit" id="{BD570B3A-BEEA-4E02-AFA1-5A33E34E5E66}" provid="{00000000-0000-0000-0000-000000000000}" o:suggestedsigner="УТВЪРДЕНА СЪС ЗАПОВЕД" o:suggestedsigner2="НА ИЗПЪЛНИТЕЛНИЯ ДИРЕКТОР НА НАП" allowcomments="t" issignatureline="t"/>
          </v:shape>
        </w:pict>
      </w:r>
    </w:p>
    <w:p w:rsidR="00A03D33" w:rsidRPr="00B412A6" w:rsidRDefault="00A03D33" w:rsidP="00A03D33">
      <w:pPr>
        <w:rPr>
          <w:sz w:val="24"/>
          <w:szCs w:val="24"/>
        </w:rPr>
      </w:pPr>
    </w:p>
    <w:p w:rsidR="00A03D33" w:rsidRPr="00B412A6" w:rsidRDefault="00A03D33" w:rsidP="00A03D33">
      <w:pPr>
        <w:jc w:val="center"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>МЕТОДИКА</w:t>
      </w:r>
    </w:p>
    <w:p w:rsidR="00823F32" w:rsidRDefault="00A03D33" w:rsidP="00A30B87">
      <w:pPr>
        <w:jc w:val="center"/>
        <w:rPr>
          <w:b/>
          <w:i/>
          <w:sz w:val="24"/>
          <w:szCs w:val="24"/>
        </w:rPr>
      </w:pPr>
      <w:r w:rsidRPr="00B412A6">
        <w:rPr>
          <w:sz w:val="24"/>
          <w:szCs w:val="24"/>
        </w:rPr>
        <w:t xml:space="preserve">За тестване на функционалността на централните компютърни системи и контролните локални сървъри на организатори на онлайн залагания </w:t>
      </w:r>
      <w:r w:rsidR="006A7955" w:rsidRPr="00B412A6">
        <w:rPr>
          <w:sz w:val="24"/>
          <w:szCs w:val="24"/>
        </w:rPr>
        <w:t xml:space="preserve">и на централните компютърни системи на организаторите на хазартни игри по чл. </w:t>
      </w:r>
      <w:r w:rsidR="00A14D1C" w:rsidRPr="00B412A6">
        <w:rPr>
          <w:sz w:val="24"/>
          <w:szCs w:val="24"/>
        </w:rPr>
        <w:t>55,57,59,</w:t>
      </w:r>
      <w:r w:rsidR="00142AB1">
        <w:rPr>
          <w:sz w:val="24"/>
          <w:szCs w:val="24"/>
        </w:rPr>
        <w:t>6</w:t>
      </w:r>
      <w:r w:rsidR="00A14D1C" w:rsidRPr="00B412A6">
        <w:rPr>
          <w:sz w:val="24"/>
          <w:szCs w:val="24"/>
        </w:rPr>
        <w:t>0</w:t>
      </w:r>
      <w:r w:rsidR="00142AB1">
        <w:rPr>
          <w:sz w:val="24"/>
          <w:szCs w:val="24"/>
        </w:rPr>
        <w:t>,</w:t>
      </w:r>
      <w:r w:rsidR="00A14D1C" w:rsidRPr="00B412A6">
        <w:rPr>
          <w:sz w:val="24"/>
          <w:szCs w:val="24"/>
        </w:rPr>
        <w:t xml:space="preserve">62 от </w:t>
      </w:r>
      <w:r w:rsidR="006A7955" w:rsidRPr="00B412A6">
        <w:rPr>
          <w:b/>
          <w:i/>
          <w:sz w:val="24"/>
          <w:szCs w:val="24"/>
        </w:rPr>
        <w:t>Закона за хазарта</w:t>
      </w:r>
      <w:r w:rsidR="00823F32">
        <w:rPr>
          <w:b/>
          <w:i/>
          <w:sz w:val="24"/>
          <w:szCs w:val="24"/>
        </w:rPr>
        <w:t xml:space="preserve"> </w:t>
      </w:r>
    </w:p>
    <w:p w:rsidR="00A30B87" w:rsidRDefault="00A03D33" w:rsidP="00A30B87">
      <w:pPr>
        <w:jc w:val="center"/>
        <w:rPr>
          <w:sz w:val="24"/>
          <w:szCs w:val="24"/>
        </w:rPr>
      </w:pPr>
      <w:r w:rsidRPr="00B412A6">
        <w:rPr>
          <w:sz w:val="24"/>
          <w:szCs w:val="24"/>
        </w:rPr>
        <w:t xml:space="preserve">съгласно </w:t>
      </w:r>
    </w:p>
    <w:p w:rsidR="00A03D33" w:rsidRPr="00B412A6" w:rsidRDefault="00A03D33" w:rsidP="00A30B87">
      <w:pPr>
        <w:jc w:val="center"/>
        <w:rPr>
          <w:b/>
          <w:i/>
          <w:sz w:val="24"/>
          <w:szCs w:val="24"/>
        </w:rPr>
      </w:pPr>
      <w:r w:rsidRPr="00B412A6">
        <w:rPr>
          <w:b/>
          <w:i/>
          <w:sz w:val="24"/>
          <w:szCs w:val="24"/>
        </w:rPr>
        <w:t>Наредба за условията и реда за регистрация и идентификация на участниците, съхраняването на данни за организираните онлайн залагания на територията на Република България и за подаване на информация за хазартните игри към сървър на Националната агенция за приходите</w:t>
      </w:r>
      <w:r w:rsidR="002C5486">
        <w:rPr>
          <w:b/>
          <w:i/>
          <w:sz w:val="24"/>
          <w:szCs w:val="24"/>
        </w:rPr>
        <w:t xml:space="preserve"> </w:t>
      </w:r>
      <w:r w:rsidR="002C5486" w:rsidRPr="00D81A99">
        <w:rPr>
          <w:sz w:val="24"/>
          <w:szCs w:val="24"/>
        </w:rPr>
        <w:t>(Наредбата)</w:t>
      </w:r>
    </w:p>
    <w:p w:rsidR="00B412A6" w:rsidRDefault="00B412A6" w:rsidP="00A03D33">
      <w:pPr>
        <w:jc w:val="center"/>
        <w:rPr>
          <w:b/>
          <w:i/>
          <w:sz w:val="24"/>
          <w:szCs w:val="24"/>
        </w:rPr>
      </w:pPr>
    </w:p>
    <w:p w:rsidR="00674923" w:rsidRPr="00823F32" w:rsidRDefault="005A675C" w:rsidP="00A03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Версия 3</w:t>
      </w:r>
    </w:p>
    <w:p w:rsidR="00A03D33" w:rsidRPr="00B412A6" w:rsidRDefault="00A03D33" w:rsidP="00A03D33">
      <w:pPr>
        <w:jc w:val="center"/>
        <w:rPr>
          <w:b/>
          <w:i/>
          <w:sz w:val="24"/>
          <w:szCs w:val="24"/>
        </w:rPr>
      </w:pPr>
    </w:p>
    <w:p w:rsidR="00A03D33" w:rsidRPr="00B412A6" w:rsidRDefault="00A03D33" w:rsidP="001842C7">
      <w:pPr>
        <w:spacing w:after="160" w:line="259" w:lineRule="auto"/>
        <w:contextualSpacing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 xml:space="preserve">Използвани съкращения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386"/>
        <w:gridCol w:w="5828"/>
      </w:tblGrid>
      <w:tr w:rsidR="00381337" w:rsidRPr="00B412A6" w:rsidTr="00E40869">
        <w:tc>
          <w:tcPr>
            <w:tcW w:w="3386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5828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База данни</w:t>
            </w:r>
          </w:p>
        </w:tc>
      </w:tr>
      <w:tr w:rsidR="00381337" w:rsidRPr="00B412A6" w:rsidTr="00E40869">
        <w:tc>
          <w:tcPr>
            <w:tcW w:w="3386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КЛС </w:t>
            </w:r>
          </w:p>
        </w:tc>
        <w:tc>
          <w:tcPr>
            <w:tcW w:w="5828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Контролен локален сървър</w:t>
            </w:r>
          </w:p>
        </w:tc>
      </w:tr>
      <w:tr w:rsidR="001842C7" w:rsidRPr="00B412A6" w:rsidTr="00E40869">
        <w:tc>
          <w:tcPr>
            <w:tcW w:w="3386" w:type="dxa"/>
            <w:vAlign w:val="center"/>
          </w:tcPr>
          <w:p w:rsidR="001842C7" w:rsidRPr="00B412A6" w:rsidRDefault="001842C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</w:p>
        </w:tc>
        <w:tc>
          <w:tcPr>
            <w:tcW w:w="5828" w:type="dxa"/>
            <w:vAlign w:val="center"/>
          </w:tcPr>
          <w:p w:rsidR="001842C7" w:rsidRPr="00B412A6" w:rsidRDefault="001842C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Закон за хазарта</w:t>
            </w:r>
          </w:p>
        </w:tc>
      </w:tr>
      <w:tr w:rsidR="00381337" w:rsidRPr="00B412A6" w:rsidTr="00E40869">
        <w:tc>
          <w:tcPr>
            <w:tcW w:w="3386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Наредба </w:t>
            </w:r>
          </w:p>
        </w:tc>
        <w:tc>
          <w:tcPr>
            <w:tcW w:w="5828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Наредба за условията и реда за регистрация и идентификация на участниците, съхраняването на данни за организираните онлайн залагания на територията на Република България и за подаване на информация за хазартните игри към сървър на Националната агенция за приходите</w:t>
            </w:r>
          </w:p>
        </w:tc>
      </w:tr>
      <w:tr w:rsidR="00381337" w:rsidRPr="00B412A6" w:rsidTr="00E40869">
        <w:tc>
          <w:tcPr>
            <w:tcW w:w="3386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Наземни хазартни игри (наземни)</w:t>
            </w:r>
          </w:p>
        </w:tc>
        <w:tc>
          <w:tcPr>
            <w:tcW w:w="5828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Хазартни игри по чл. 55, 57, 59, 60</w:t>
            </w:r>
            <w:r w:rsidR="008F62A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62 от ЗХ</w:t>
            </w:r>
          </w:p>
        </w:tc>
      </w:tr>
      <w:tr w:rsidR="00F40102" w:rsidRPr="00B412A6" w:rsidTr="00E40869">
        <w:tc>
          <w:tcPr>
            <w:tcW w:w="3386" w:type="dxa"/>
            <w:vAlign w:val="center"/>
          </w:tcPr>
          <w:p w:rsidR="00F40102" w:rsidRPr="00B412A6" w:rsidRDefault="00F40102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Насоки към ОХИ (Насоки)</w:t>
            </w:r>
          </w:p>
        </w:tc>
        <w:tc>
          <w:tcPr>
            <w:tcW w:w="5828" w:type="dxa"/>
            <w:vAlign w:val="center"/>
          </w:tcPr>
          <w:p w:rsidR="00F40102" w:rsidRPr="00B412A6" w:rsidRDefault="00590BEF" w:rsidP="00B412A6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Насоки към организаторите на хазартни игри във връзка с изпълнение на изискванията на нормативната уредба за одобряване на системите им за подаване на информация към сървър на НАП</w:t>
            </w:r>
          </w:p>
        </w:tc>
      </w:tr>
      <w:tr w:rsidR="00CA76A2" w:rsidRPr="00B412A6" w:rsidTr="00E40869">
        <w:tc>
          <w:tcPr>
            <w:tcW w:w="3386" w:type="dxa"/>
            <w:vAlign w:val="center"/>
          </w:tcPr>
          <w:p w:rsidR="00CA76A2" w:rsidRPr="00B412A6" w:rsidRDefault="00CA76A2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828" w:type="dxa"/>
            <w:vAlign w:val="center"/>
          </w:tcPr>
          <w:p w:rsidR="00CA76A2" w:rsidRPr="00B412A6" w:rsidRDefault="00CA76A2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Орган/и по приходите </w:t>
            </w:r>
          </w:p>
        </w:tc>
      </w:tr>
      <w:tr w:rsidR="00381337" w:rsidRPr="00B412A6" w:rsidTr="00E40869">
        <w:tc>
          <w:tcPr>
            <w:tcW w:w="3386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ОХИ</w:t>
            </w:r>
          </w:p>
        </w:tc>
        <w:tc>
          <w:tcPr>
            <w:tcW w:w="5828" w:type="dxa"/>
            <w:vAlign w:val="center"/>
          </w:tcPr>
          <w:p w:rsidR="00381337" w:rsidRPr="00B412A6" w:rsidRDefault="00381337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Лице, подало  искане до изпълнителния директор на НАП за одобряване на система за автоматизирано подаване на информация към сървър на НАП съгласно  чл. 20, ал. 1 от Наредбата </w:t>
            </w:r>
          </w:p>
        </w:tc>
      </w:tr>
      <w:tr w:rsidR="005933B4" w:rsidRPr="00B412A6" w:rsidTr="00E40869">
        <w:tc>
          <w:tcPr>
            <w:tcW w:w="3386" w:type="dxa"/>
            <w:vAlign w:val="center"/>
          </w:tcPr>
          <w:p w:rsidR="005933B4" w:rsidRPr="00B412A6" w:rsidRDefault="005933B4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РБ </w:t>
            </w:r>
          </w:p>
        </w:tc>
        <w:tc>
          <w:tcPr>
            <w:tcW w:w="5828" w:type="dxa"/>
            <w:vAlign w:val="center"/>
          </w:tcPr>
          <w:p w:rsidR="005933B4" w:rsidRPr="00B412A6" w:rsidRDefault="005933B4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Република България</w:t>
            </w:r>
          </w:p>
        </w:tc>
      </w:tr>
      <w:tr w:rsidR="00B8357A" w:rsidRPr="00B412A6" w:rsidTr="00E40869">
        <w:tc>
          <w:tcPr>
            <w:tcW w:w="3386" w:type="dxa"/>
            <w:vAlign w:val="center"/>
          </w:tcPr>
          <w:p w:rsidR="00B8357A" w:rsidRPr="00B412A6" w:rsidRDefault="00B8357A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Тестващ екип</w:t>
            </w:r>
          </w:p>
        </w:tc>
        <w:tc>
          <w:tcPr>
            <w:tcW w:w="5828" w:type="dxa"/>
            <w:vAlign w:val="center"/>
          </w:tcPr>
          <w:p w:rsidR="00B8357A" w:rsidRPr="00B412A6" w:rsidRDefault="00B8357A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Екип, съставен от служители на НАП, определени със заповед на изпълнителния директор на НАП</w:t>
            </w:r>
          </w:p>
        </w:tc>
      </w:tr>
      <w:tr w:rsidR="005933B4" w:rsidRPr="00B412A6" w:rsidTr="00E40869">
        <w:tc>
          <w:tcPr>
            <w:tcW w:w="3386" w:type="dxa"/>
            <w:vAlign w:val="center"/>
          </w:tcPr>
          <w:p w:rsidR="005933B4" w:rsidRPr="00B412A6" w:rsidRDefault="005933B4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5828" w:type="dxa"/>
            <w:vAlign w:val="center"/>
          </w:tcPr>
          <w:p w:rsidR="005933B4" w:rsidRPr="00B412A6" w:rsidRDefault="005933B4" w:rsidP="00394E4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Централна компютърна система на ОХИ</w:t>
            </w:r>
          </w:p>
        </w:tc>
      </w:tr>
      <w:tr w:rsidR="005933B4" w:rsidRPr="00B412A6" w:rsidTr="00E40869">
        <w:tc>
          <w:tcPr>
            <w:tcW w:w="3386" w:type="dxa"/>
            <w:vAlign w:val="center"/>
          </w:tcPr>
          <w:p w:rsidR="005933B4" w:rsidRPr="00B412A6" w:rsidRDefault="005933B4" w:rsidP="005933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933B4" w:rsidRPr="00B412A6" w:rsidRDefault="005933B4" w:rsidP="005933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D33" w:rsidRPr="00B412A6" w:rsidRDefault="00A03D33" w:rsidP="00A03D33">
      <w:pPr>
        <w:pStyle w:val="ListParagraph"/>
        <w:rPr>
          <w:sz w:val="24"/>
          <w:szCs w:val="24"/>
        </w:rPr>
      </w:pPr>
    </w:p>
    <w:p w:rsidR="00A03D33" w:rsidRPr="00B412A6" w:rsidRDefault="00A03D33" w:rsidP="001842C7">
      <w:pPr>
        <w:spacing w:after="160" w:line="259" w:lineRule="auto"/>
        <w:contextualSpacing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 xml:space="preserve">Необходими условия за извършване на тестването </w:t>
      </w:r>
    </w:p>
    <w:p w:rsidR="001842C7" w:rsidRPr="001F1517" w:rsidRDefault="001842C7" w:rsidP="0080405A">
      <w:pPr>
        <w:pStyle w:val="ListParagraph"/>
        <w:numPr>
          <w:ilvl w:val="0"/>
          <w:numId w:val="4"/>
        </w:numPr>
        <w:spacing w:after="160" w:line="259" w:lineRule="auto"/>
        <w:ind w:left="567" w:hanging="567"/>
        <w:contextualSpacing/>
        <w:jc w:val="both"/>
        <w:rPr>
          <w:b/>
          <w:sz w:val="24"/>
          <w:szCs w:val="24"/>
        </w:rPr>
      </w:pPr>
      <w:r w:rsidRPr="001F1517">
        <w:rPr>
          <w:b/>
          <w:sz w:val="24"/>
          <w:szCs w:val="24"/>
        </w:rPr>
        <w:t>Общи условия</w:t>
      </w:r>
    </w:p>
    <w:p w:rsidR="00A03D33" w:rsidRPr="00B412A6" w:rsidRDefault="00A03D33" w:rsidP="0080405A">
      <w:pPr>
        <w:pStyle w:val="ListParagraph"/>
        <w:numPr>
          <w:ilvl w:val="1"/>
          <w:numId w:val="4"/>
        </w:numPr>
        <w:spacing w:after="160" w:line="259" w:lineRule="auto"/>
        <w:ind w:left="1134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Изградена комуникационна свързаност между ЦКС/КЛС на ОХИ и сървър на НАП;</w:t>
      </w:r>
    </w:p>
    <w:p w:rsidR="00A03D33" w:rsidRPr="00B412A6" w:rsidRDefault="00A03D33" w:rsidP="0080405A">
      <w:pPr>
        <w:pStyle w:val="ListParagraph"/>
        <w:numPr>
          <w:ilvl w:val="1"/>
          <w:numId w:val="4"/>
        </w:numPr>
        <w:spacing w:after="160" w:line="259" w:lineRule="auto"/>
        <w:ind w:left="1134" w:hanging="567"/>
        <w:jc w:val="both"/>
        <w:rPr>
          <w:sz w:val="24"/>
          <w:szCs w:val="24"/>
        </w:rPr>
      </w:pPr>
      <w:r w:rsidRPr="00B412A6">
        <w:rPr>
          <w:sz w:val="24"/>
          <w:szCs w:val="24"/>
        </w:rPr>
        <w:t xml:space="preserve">Установена комуникация между </w:t>
      </w:r>
      <w:r w:rsidR="00845B01" w:rsidRPr="00B412A6">
        <w:rPr>
          <w:sz w:val="24"/>
          <w:szCs w:val="24"/>
          <w:lang w:val="en-US"/>
        </w:rPr>
        <w:t xml:space="preserve">тестващия екип на </w:t>
      </w:r>
      <w:r w:rsidRPr="00B412A6">
        <w:rPr>
          <w:sz w:val="24"/>
          <w:szCs w:val="24"/>
        </w:rPr>
        <w:t xml:space="preserve">НАП и ОХИ </w:t>
      </w:r>
      <w:r w:rsidRPr="00B412A6">
        <w:rPr>
          <w:sz w:val="24"/>
          <w:szCs w:val="24"/>
          <w:lang w:val="ru-RU"/>
        </w:rPr>
        <w:t>(</w:t>
      </w:r>
      <w:r w:rsidR="00D17900" w:rsidRPr="00B412A6">
        <w:rPr>
          <w:sz w:val="24"/>
          <w:szCs w:val="24"/>
          <w:lang w:val="ru-RU"/>
        </w:rPr>
        <w:t>електронна поща</w:t>
      </w:r>
      <w:r w:rsidRPr="00B412A6">
        <w:rPr>
          <w:sz w:val="24"/>
          <w:szCs w:val="24"/>
        </w:rPr>
        <w:t>, телефон</w:t>
      </w:r>
      <w:r w:rsidRPr="00B412A6">
        <w:rPr>
          <w:sz w:val="24"/>
          <w:szCs w:val="24"/>
          <w:lang w:val="ru-RU"/>
        </w:rPr>
        <w:t>)</w:t>
      </w:r>
      <w:r w:rsidRPr="00B412A6">
        <w:rPr>
          <w:sz w:val="24"/>
          <w:szCs w:val="24"/>
        </w:rPr>
        <w:t>.</w:t>
      </w:r>
    </w:p>
    <w:p w:rsidR="00A03D33" w:rsidRPr="009B13B0" w:rsidRDefault="00F87A8C" w:rsidP="0080405A">
      <w:pPr>
        <w:pStyle w:val="ListParagraph"/>
        <w:numPr>
          <w:ilvl w:val="0"/>
          <w:numId w:val="4"/>
        </w:numPr>
        <w:spacing w:after="160" w:line="259" w:lineRule="auto"/>
        <w:ind w:left="567" w:hanging="567"/>
        <w:contextualSpacing/>
        <w:jc w:val="both"/>
        <w:rPr>
          <w:b/>
          <w:sz w:val="24"/>
          <w:szCs w:val="24"/>
        </w:rPr>
      </w:pPr>
      <w:r w:rsidRPr="009B13B0">
        <w:rPr>
          <w:b/>
          <w:sz w:val="24"/>
          <w:szCs w:val="24"/>
        </w:rPr>
        <w:t xml:space="preserve">Изисквания за тестова среда на системите на </w:t>
      </w:r>
      <w:r w:rsidR="00A54DA4">
        <w:rPr>
          <w:b/>
          <w:sz w:val="24"/>
          <w:szCs w:val="24"/>
        </w:rPr>
        <w:t>организаторите на онлайн хазартни игри</w:t>
      </w:r>
      <w:r w:rsidRPr="009B13B0">
        <w:rPr>
          <w:b/>
          <w:sz w:val="24"/>
          <w:szCs w:val="24"/>
        </w:rPr>
        <w:t xml:space="preserve"> при първо</w:t>
      </w:r>
      <w:r w:rsidR="00611B5C">
        <w:rPr>
          <w:b/>
          <w:sz w:val="24"/>
          <w:szCs w:val="24"/>
        </w:rPr>
        <w:t xml:space="preserve">начално </w:t>
      </w:r>
      <w:r w:rsidR="001F1517">
        <w:rPr>
          <w:b/>
          <w:sz w:val="24"/>
          <w:szCs w:val="24"/>
        </w:rPr>
        <w:t xml:space="preserve">тестване съгласно </w:t>
      </w:r>
      <w:r w:rsidR="00234B69">
        <w:rPr>
          <w:b/>
          <w:sz w:val="24"/>
          <w:szCs w:val="24"/>
        </w:rPr>
        <w:t>чл.21</w:t>
      </w:r>
      <w:r w:rsidR="00D81A99">
        <w:rPr>
          <w:b/>
          <w:sz w:val="24"/>
          <w:szCs w:val="24"/>
        </w:rPr>
        <w:t xml:space="preserve"> от</w:t>
      </w:r>
      <w:r w:rsidR="00234B69">
        <w:rPr>
          <w:b/>
          <w:sz w:val="24"/>
          <w:szCs w:val="24"/>
        </w:rPr>
        <w:t xml:space="preserve"> </w:t>
      </w:r>
      <w:r w:rsidR="001F1517">
        <w:rPr>
          <w:b/>
          <w:sz w:val="24"/>
          <w:szCs w:val="24"/>
        </w:rPr>
        <w:t>Наредбата</w:t>
      </w:r>
    </w:p>
    <w:p w:rsidR="00563F72" w:rsidRPr="00B412A6" w:rsidRDefault="004731C6" w:rsidP="0080405A">
      <w:pPr>
        <w:pStyle w:val="ListParagraph"/>
        <w:numPr>
          <w:ilvl w:val="1"/>
          <w:numId w:val="4"/>
        </w:numPr>
        <w:spacing w:after="160" w:line="259" w:lineRule="auto"/>
        <w:ind w:left="1134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О</w:t>
      </w:r>
      <w:r w:rsidR="00563F72" w:rsidRPr="00B412A6">
        <w:rPr>
          <w:sz w:val="24"/>
          <w:szCs w:val="24"/>
        </w:rPr>
        <w:t>рганизаторите на онлайн залагания</w:t>
      </w:r>
      <w:r w:rsidR="002D7FA0" w:rsidRPr="00B412A6">
        <w:rPr>
          <w:sz w:val="24"/>
          <w:szCs w:val="24"/>
        </w:rPr>
        <w:t xml:space="preserve"> </w:t>
      </w:r>
      <w:r w:rsidR="0087183D" w:rsidRPr="00B412A6">
        <w:rPr>
          <w:sz w:val="24"/>
          <w:szCs w:val="24"/>
        </w:rPr>
        <w:t xml:space="preserve">трябва </w:t>
      </w:r>
      <w:r w:rsidR="002D7FA0" w:rsidRPr="00B412A6">
        <w:rPr>
          <w:sz w:val="24"/>
          <w:szCs w:val="24"/>
        </w:rPr>
        <w:t>да се осигурят</w:t>
      </w:r>
      <w:r w:rsidR="00563F72" w:rsidRPr="00B412A6">
        <w:rPr>
          <w:sz w:val="24"/>
          <w:szCs w:val="24"/>
        </w:rPr>
        <w:t xml:space="preserve">: </w:t>
      </w:r>
    </w:p>
    <w:p w:rsidR="006E2805" w:rsidRPr="00B412A6" w:rsidRDefault="0087183D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</w:t>
      </w:r>
      <w:r w:rsidR="006E2805" w:rsidRPr="00B412A6">
        <w:rPr>
          <w:sz w:val="24"/>
          <w:szCs w:val="24"/>
        </w:rPr>
        <w:t xml:space="preserve">остъп на тестващия екип </w:t>
      </w:r>
      <w:r w:rsidR="00142AB1">
        <w:rPr>
          <w:sz w:val="24"/>
          <w:szCs w:val="24"/>
        </w:rPr>
        <w:t>от</w:t>
      </w:r>
      <w:r w:rsidR="006E2805" w:rsidRPr="00B412A6">
        <w:rPr>
          <w:sz w:val="24"/>
          <w:szCs w:val="24"/>
        </w:rPr>
        <w:t xml:space="preserve"> НАП до </w:t>
      </w:r>
      <w:r w:rsidR="001F6939" w:rsidRPr="00B412A6">
        <w:rPr>
          <w:sz w:val="24"/>
          <w:szCs w:val="24"/>
        </w:rPr>
        <w:t xml:space="preserve">тестов сайт за залагания/тестов </w:t>
      </w:r>
      <w:r w:rsidR="006E2805" w:rsidRPr="00B412A6">
        <w:rPr>
          <w:sz w:val="24"/>
          <w:szCs w:val="24"/>
        </w:rPr>
        <w:t>front-office на ЦКС с възможност за регистриране на тестови участници и извършване на залагания чрез профилите им – тестова среда</w:t>
      </w:r>
      <w:r w:rsidR="001F6939" w:rsidRPr="00B412A6">
        <w:rPr>
          <w:sz w:val="24"/>
          <w:szCs w:val="24"/>
        </w:rPr>
        <w:t>;</w:t>
      </w:r>
    </w:p>
    <w:p w:rsidR="00A03D33" w:rsidRPr="00B412A6" w:rsidRDefault="0087183D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</w:t>
      </w:r>
      <w:r w:rsidR="00A03D33" w:rsidRPr="00B412A6">
        <w:rPr>
          <w:sz w:val="24"/>
          <w:szCs w:val="24"/>
        </w:rPr>
        <w:t xml:space="preserve">остъп на </w:t>
      </w:r>
      <w:r w:rsidR="00563F72" w:rsidRPr="00B412A6">
        <w:rPr>
          <w:sz w:val="24"/>
          <w:szCs w:val="24"/>
        </w:rPr>
        <w:t xml:space="preserve">тестващия екип от </w:t>
      </w:r>
      <w:r w:rsidR="00A03D33" w:rsidRPr="00B412A6">
        <w:rPr>
          <w:sz w:val="24"/>
          <w:szCs w:val="24"/>
        </w:rPr>
        <w:t>НАП до административен интерфейс (back-office) на ЦКС</w:t>
      </w:r>
      <w:r w:rsidR="00187DED" w:rsidRPr="00B412A6">
        <w:rPr>
          <w:sz w:val="24"/>
          <w:szCs w:val="24"/>
        </w:rPr>
        <w:t xml:space="preserve"> – тестова среда</w:t>
      </w:r>
      <w:r w:rsidR="00A03D33" w:rsidRPr="00B412A6">
        <w:rPr>
          <w:sz w:val="24"/>
          <w:szCs w:val="24"/>
        </w:rPr>
        <w:t>;</w:t>
      </w:r>
    </w:p>
    <w:p w:rsidR="00A03D33" w:rsidRPr="00B412A6" w:rsidRDefault="0087183D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</w:t>
      </w:r>
      <w:r w:rsidR="00A03D33" w:rsidRPr="00B412A6">
        <w:rPr>
          <w:sz w:val="24"/>
          <w:szCs w:val="24"/>
        </w:rPr>
        <w:t xml:space="preserve">остъп на </w:t>
      </w:r>
      <w:r w:rsidR="00142AB1">
        <w:rPr>
          <w:sz w:val="24"/>
          <w:szCs w:val="24"/>
        </w:rPr>
        <w:t xml:space="preserve">тестващия екип от </w:t>
      </w:r>
      <w:r w:rsidR="00A03D33" w:rsidRPr="00B412A6">
        <w:rPr>
          <w:sz w:val="24"/>
          <w:szCs w:val="24"/>
        </w:rPr>
        <w:t>НАП до административен интерфейс (back-office) на КЛС</w:t>
      </w:r>
      <w:r w:rsidR="00187DED" w:rsidRPr="00B412A6">
        <w:rPr>
          <w:sz w:val="24"/>
          <w:szCs w:val="24"/>
        </w:rPr>
        <w:t xml:space="preserve"> – тестова среда</w:t>
      </w:r>
      <w:r w:rsidR="00A03D33" w:rsidRPr="00B412A6">
        <w:rPr>
          <w:sz w:val="24"/>
          <w:szCs w:val="24"/>
        </w:rPr>
        <w:t>;</w:t>
      </w:r>
    </w:p>
    <w:p w:rsidR="00A03D33" w:rsidRPr="00B412A6" w:rsidRDefault="0087183D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съ</w:t>
      </w:r>
      <w:r w:rsidR="00A03D33" w:rsidRPr="00B412A6">
        <w:rPr>
          <w:sz w:val="24"/>
          <w:szCs w:val="24"/>
        </w:rPr>
        <w:t xml:space="preserve">действие </w:t>
      </w:r>
      <w:r w:rsidR="00880BF1" w:rsidRPr="00B412A6">
        <w:rPr>
          <w:sz w:val="24"/>
          <w:szCs w:val="24"/>
        </w:rPr>
        <w:t>от</w:t>
      </w:r>
      <w:r w:rsidR="00A03D33" w:rsidRPr="00B412A6">
        <w:rPr>
          <w:sz w:val="24"/>
          <w:szCs w:val="24"/>
        </w:rPr>
        <w:t xml:space="preserve"> служители на ОХИ при извършване на тестването</w:t>
      </w:r>
      <w:r w:rsidR="001F6939" w:rsidRPr="00B412A6">
        <w:rPr>
          <w:sz w:val="24"/>
          <w:szCs w:val="24"/>
        </w:rPr>
        <w:t>.</w:t>
      </w:r>
      <w:r w:rsidR="00A03D33" w:rsidRPr="00B412A6">
        <w:rPr>
          <w:sz w:val="24"/>
          <w:szCs w:val="24"/>
        </w:rPr>
        <w:t xml:space="preserve"> </w:t>
      </w:r>
    </w:p>
    <w:p w:rsidR="006E2805" w:rsidRPr="00B412A6" w:rsidRDefault="006E2805" w:rsidP="0080405A">
      <w:pPr>
        <w:pStyle w:val="ListParagraph"/>
        <w:numPr>
          <w:ilvl w:val="1"/>
          <w:numId w:val="4"/>
        </w:numPr>
        <w:spacing w:after="160" w:line="259" w:lineRule="auto"/>
        <w:ind w:left="1134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Организаторите на на</w:t>
      </w:r>
      <w:r w:rsidR="009217A8">
        <w:rPr>
          <w:sz w:val="24"/>
          <w:szCs w:val="24"/>
        </w:rPr>
        <w:t>земни хазартни игри трябва да</w:t>
      </w:r>
      <w:r w:rsidRPr="00B412A6">
        <w:rPr>
          <w:sz w:val="24"/>
          <w:szCs w:val="24"/>
        </w:rPr>
        <w:t xml:space="preserve"> осигурят: </w:t>
      </w:r>
    </w:p>
    <w:p w:rsidR="0087183D" w:rsidRPr="00B412A6" w:rsidRDefault="0087183D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достъп на тестващия екип от НАП до тестово оборудване за регистриране на залози</w:t>
      </w:r>
      <w:r w:rsidR="001F6939" w:rsidRPr="00B412A6">
        <w:rPr>
          <w:sz w:val="24"/>
          <w:szCs w:val="24"/>
        </w:rPr>
        <w:t>;</w:t>
      </w:r>
    </w:p>
    <w:p w:rsidR="0087183D" w:rsidRPr="00B412A6" w:rsidRDefault="0087183D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достъп на тестващия екип от НАП до административен интерфейс (back-office) на ЦКС – тестова среда;</w:t>
      </w:r>
    </w:p>
    <w:p w:rsidR="00F87A8C" w:rsidRPr="00F87A8C" w:rsidRDefault="00880BF1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jc w:val="both"/>
        <w:rPr>
          <w:sz w:val="24"/>
          <w:szCs w:val="24"/>
        </w:rPr>
      </w:pPr>
      <w:r w:rsidRPr="00B412A6">
        <w:rPr>
          <w:sz w:val="24"/>
          <w:szCs w:val="24"/>
        </w:rPr>
        <w:t>съдействие от служители на ОХИ при извършване на тестването.</w:t>
      </w:r>
    </w:p>
    <w:p w:rsidR="00A03D33" w:rsidRPr="00B412A6" w:rsidRDefault="00120F56" w:rsidP="0080405A">
      <w:pPr>
        <w:pStyle w:val="ListParagraph"/>
        <w:numPr>
          <w:ilvl w:val="1"/>
          <w:numId w:val="4"/>
        </w:numPr>
        <w:spacing w:after="160" w:line="259" w:lineRule="auto"/>
        <w:ind w:left="1134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За целите на тестване на с</w:t>
      </w:r>
      <w:r w:rsidR="00F44845" w:rsidRPr="00B412A6">
        <w:rPr>
          <w:sz w:val="24"/>
          <w:szCs w:val="24"/>
        </w:rPr>
        <w:t>и</w:t>
      </w:r>
      <w:r w:rsidRPr="00B412A6">
        <w:rPr>
          <w:sz w:val="24"/>
          <w:szCs w:val="24"/>
        </w:rPr>
        <w:t>стемите на ОХИ о</w:t>
      </w:r>
      <w:r w:rsidR="00B8357A" w:rsidRPr="00B412A6">
        <w:rPr>
          <w:sz w:val="24"/>
          <w:szCs w:val="24"/>
        </w:rPr>
        <w:t>т страна на НАП се осигуряват</w:t>
      </w:r>
      <w:r w:rsidRPr="00B412A6">
        <w:rPr>
          <w:sz w:val="24"/>
          <w:szCs w:val="24"/>
        </w:rPr>
        <w:t xml:space="preserve">: </w:t>
      </w:r>
    </w:p>
    <w:p w:rsidR="00A03D33" w:rsidRPr="00B412A6" w:rsidRDefault="00973493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</w:t>
      </w:r>
      <w:r w:rsidR="00A03D33" w:rsidRPr="00B412A6">
        <w:rPr>
          <w:sz w:val="24"/>
          <w:szCs w:val="24"/>
        </w:rPr>
        <w:t xml:space="preserve">остъп на </w:t>
      </w:r>
      <w:r w:rsidRPr="00B412A6">
        <w:rPr>
          <w:sz w:val="24"/>
          <w:szCs w:val="24"/>
        </w:rPr>
        <w:t xml:space="preserve">системите на </w:t>
      </w:r>
      <w:r w:rsidR="00A03D33" w:rsidRPr="00B412A6">
        <w:rPr>
          <w:sz w:val="24"/>
          <w:szCs w:val="24"/>
        </w:rPr>
        <w:t>ОХИ до тестовата среда на НАП за подаване на данни съгласно Наредбата</w:t>
      </w:r>
      <w:r w:rsidR="000B7344" w:rsidRPr="00B412A6">
        <w:rPr>
          <w:sz w:val="24"/>
          <w:szCs w:val="24"/>
        </w:rPr>
        <w:t>;</w:t>
      </w:r>
      <w:r w:rsidR="00A03D33" w:rsidRPr="00B412A6">
        <w:rPr>
          <w:sz w:val="24"/>
          <w:szCs w:val="24"/>
        </w:rPr>
        <w:t xml:space="preserve"> </w:t>
      </w:r>
    </w:p>
    <w:p w:rsidR="00A03D33" w:rsidRPr="00B412A6" w:rsidRDefault="00F44845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н</w:t>
      </w:r>
      <w:r w:rsidR="00A03D33" w:rsidRPr="00B412A6">
        <w:rPr>
          <w:sz w:val="24"/>
          <w:szCs w:val="24"/>
        </w:rPr>
        <w:t>абор от ЕГН и ЛНЧ/ЛН за тестови цели</w:t>
      </w:r>
      <w:r w:rsidR="000B7344" w:rsidRPr="00B412A6">
        <w:rPr>
          <w:sz w:val="24"/>
          <w:szCs w:val="24"/>
        </w:rPr>
        <w:t>;</w:t>
      </w:r>
    </w:p>
    <w:p w:rsidR="000B7344" w:rsidRPr="00B412A6" w:rsidRDefault="00F44845" w:rsidP="0080405A">
      <w:pPr>
        <w:pStyle w:val="ListParagraph"/>
        <w:numPr>
          <w:ilvl w:val="0"/>
          <w:numId w:val="8"/>
        </w:numPr>
        <w:spacing w:after="160" w:line="259" w:lineRule="auto"/>
        <w:ind w:left="1701" w:hanging="567"/>
        <w:contextualSpacing/>
        <w:jc w:val="both"/>
        <w:rPr>
          <w:sz w:val="24"/>
          <w:szCs w:val="24"/>
        </w:rPr>
      </w:pPr>
      <w:r w:rsidRPr="00B412A6">
        <w:rPr>
          <w:sz w:val="24"/>
          <w:szCs w:val="24"/>
        </w:rPr>
        <w:t>д</w:t>
      </w:r>
      <w:r w:rsidR="00120F56" w:rsidRPr="00B412A6">
        <w:rPr>
          <w:sz w:val="24"/>
          <w:szCs w:val="24"/>
        </w:rPr>
        <w:t xml:space="preserve">остъп </w:t>
      </w:r>
      <w:r w:rsidR="00B8357A" w:rsidRPr="00B412A6">
        <w:rPr>
          <w:sz w:val="24"/>
          <w:szCs w:val="24"/>
        </w:rPr>
        <w:t xml:space="preserve">на тестващия екип </w:t>
      </w:r>
      <w:r w:rsidR="00120F56" w:rsidRPr="00B412A6">
        <w:rPr>
          <w:sz w:val="24"/>
          <w:szCs w:val="24"/>
        </w:rPr>
        <w:t>до интернет извън мрежовата инфраструктура на НАП</w:t>
      </w:r>
      <w:r w:rsidR="000B7344" w:rsidRPr="00B412A6">
        <w:rPr>
          <w:sz w:val="24"/>
          <w:szCs w:val="24"/>
        </w:rPr>
        <w:t>.</w:t>
      </w:r>
    </w:p>
    <w:p w:rsidR="0080405A" w:rsidRPr="009B13B0" w:rsidRDefault="001F7BEA" w:rsidP="0080405A">
      <w:pPr>
        <w:pStyle w:val="ListParagraph"/>
        <w:numPr>
          <w:ilvl w:val="0"/>
          <w:numId w:val="4"/>
        </w:numPr>
        <w:spacing w:after="160" w:line="259" w:lineRule="auto"/>
        <w:ind w:left="567" w:hanging="567"/>
        <w:contextualSpacing/>
        <w:jc w:val="both"/>
        <w:rPr>
          <w:b/>
          <w:sz w:val="24"/>
          <w:szCs w:val="24"/>
        </w:rPr>
      </w:pPr>
      <w:r w:rsidRPr="009B13B0">
        <w:rPr>
          <w:b/>
          <w:sz w:val="24"/>
          <w:szCs w:val="24"/>
        </w:rPr>
        <w:t xml:space="preserve">Изисквания към системите на </w:t>
      </w:r>
      <w:r w:rsidR="00A54DA4">
        <w:rPr>
          <w:b/>
          <w:sz w:val="24"/>
          <w:szCs w:val="24"/>
        </w:rPr>
        <w:t>организаторите на онлайн хазартни игри</w:t>
      </w:r>
      <w:r w:rsidRPr="009B13B0">
        <w:rPr>
          <w:b/>
          <w:sz w:val="24"/>
          <w:szCs w:val="24"/>
        </w:rPr>
        <w:t xml:space="preserve"> при промяна във функционалността на системата съгласно чл.</w:t>
      </w:r>
      <w:r w:rsidR="00920457">
        <w:rPr>
          <w:b/>
          <w:sz w:val="24"/>
          <w:szCs w:val="24"/>
          <w:lang w:val="en-US"/>
        </w:rPr>
        <w:t xml:space="preserve"> </w:t>
      </w:r>
      <w:r w:rsidRPr="009B13B0">
        <w:rPr>
          <w:b/>
          <w:sz w:val="24"/>
          <w:szCs w:val="24"/>
        </w:rPr>
        <w:t>22 от Наредбата</w:t>
      </w:r>
    </w:p>
    <w:p w:rsidR="001F7BEA" w:rsidRPr="00936E7A" w:rsidRDefault="00CA1551" w:rsidP="00936E7A">
      <w:pPr>
        <w:pStyle w:val="ListParagraph"/>
        <w:tabs>
          <w:tab w:val="left" w:pos="1134"/>
        </w:tabs>
        <w:spacing w:after="160" w:line="259" w:lineRule="auto"/>
        <w:ind w:left="567"/>
        <w:contextualSpacing/>
        <w:jc w:val="both"/>
        <w:rPr>
          <w:sz w:val="24"/>
          <w:szCs w:val="24"/>
        </w:rPr>
      </w:pPr>
      <w:r w:rsidRPr="0080405A">
        <w:rPr>
          <w:sz w:val="24"/>
          <w:szCs w:val="24"/>
        </w:rPr>
        <w:t xml:space="preserve">3.1    </w:t>
      </w:r>
      <w:r w:rsidR="001F7BEA" w:rsidRPr="0080405A">
        <w:rPr>
          <w:sz w:val="24"/>
          <w:szCs w:val="24"/>
        </w:rPr>
        <w:t xml:space="preserve">Организаторите </w:t>
      </w:r>
      <w:r w:rsidR="00920457">
        <w:rPr>
          <w:sz w:val="24"/>
          <w:szCs w:val="24"/>
        </w:rPr>
        <w:t>на онлайн залагания трябва да</w:t>
      </w:r>
      <w:r w:rsidR="001F7BEA" w:rsidRPr="0080405A">
        <w:rPr>
          <w:sz w:val="24"/>
          <w:szCs w:val="24"/>
        </w:rPr>
        <w:t xml:space="preserve"> осигурят: </w:t>
      </w:r>
    </w:p>
    <w:p w:rsidR="001F7BEA" w:rsidRPr="00B3617E" w:rsidRDefault="001F7BEA" w:rsidP="0080405A">
      <w:pPr>
        <w:pStyle w:val="ListParagraph"/>
        <w:numPr>
          <w:ilvl w:val="0"/>
          <w:numId w:val="8"/>
        </w:numPr>
        <w:spacing w:after="160" w:line="259" w:lineRule="auto"/>
        <w:ind w:left="1134" w:hanging="425"/>
        <w:contextualSpacing/>
        <w:jc w:val="both"/>
        <w:rPr>
          <w:sz w:val="24"/>
          <w:szCs w:val="24"/>
        </w:rPr>
      </w:pPr>
      <w:r w:rsidRPr="00B3617E">
        <w:rPr>
          <w:sz w:val="24"/>
          <w:szCs w:val="24"/>
        </w:rPr>
        <w:t>достъп на тестващия екип на НАП до потребителски интерфейс (front-office на ЦКС) с предоставяне на профил/и на участник/ци за извършване на залагания;</w:t>
      </w:r>
    </w:p>
    <w:p w:rsidR="001F7BEA" w:rsidRPr="00B3617E" w:rsidRDefault="001F7BEA" w:rsidP="0080405A">
      <w:pPr>
        <w:pStyle w:val="ListParagraph"/>
        <w:numPr>
          <w:ilvl w:val="0"/>
          <w:numId w:val="8"/>
        </w:numPr>
        <w:spacing w:after="160" w:line="259" w:lineRule="auto"/>
        <w:ind w:left="1134" w:hanging="425"/>
        <w:contextualSpacing/>
        <w:jc w:val="both"/>
        <w:rPr>
          <w:sz w:val="24"/>
          <w:szCs w:val="24"/>
        </w:rPr>
      </w:pPr>
      <w:r w:rsidRPr="00B3617E">
        <w:rPr>
          <w:sz w:val="24"/>
          <w:szCs w:val="24"/>
        </w:rPr>
        <w:lastRenderedPageBreak/>
        <w:t>достъп на тестващия екип на НАП  до административен интерфейс (back-office) на ЦКС;</w:t>
      </w:r>
    </w:p>
    <w:p w:rsidR="001F7BEA" w:rsidRPr="00B3617E" w:rsidRDefault="001F7BEA" w:rsidP="0080405A">
      <w:pPr>
        <w:pStyle w:val="ListParagraph"/>
        <w:numPr>
          <w:ilvl w:val="0"/>
          <w:numId w:val="8"/>
        </w:numPr>
        <w:spacing w:after="160" w:line="259" w:lineRule="auto"/>
        <w:ind w:left="1134" w:hanging="425"/>
        <w:contextualSpacing/>
        <w:jc w:val="both"/>
        <w:rPr>
          <w:sz w:val="24"/>
          <w:szCs w:val="24"/>
        </w:rPr>
      </w:pPr>
      <w:r w:rsidRPr="00B3617E">
        <w:rPr>
          <w:sz w:val="24"/>
          <w:szCs w:val="24"/>
        </w:rPr>
        <w:t>достъп на НАП  до административен интерфейс (back-office) на КЛС;</w:t>
      </w:r>
    </w:p>
    <w:p w:rsidR="001F7BEA" w:rsidRPr="0080405A" w:rsidRDefault="001F7BEA" w:rsidP="0080405A">
      <w:pPr>
        <w:pStyle w:val="ListParagraph"/>
        <w:numPr>
          <w:ilvl w:val="0"/>
          <w:numId w:val="8"/>
        </w:numPr>
        <w:spacing w:after="160" w:line="259" w:lineRule="auto"/>
        <w:ind w:left="1134" w:hanging="425"/>
        <w:contextualSpacing/>
        <w:jc w:val="both"/>
        <w:rPr>
          <w:sz w:val="24"/>
          <w:szCs w:val="24"/>
        </w:rPr>
      </w:pPr>
      <w:r w:rsidRPr="00B3617E">
        <w:rPr>
          <w:sz w:val="24"/>
          <w:szCs w:val="24"/>
        </w:rPr>
        <w:t xml:space="preserve">съдействие на служители на ОХИ при извършване на тестването. </w:t>
      </w:r>
    </w:p>
    <w:p w:rsidR="001F7BEA" w:rsidRPr="0080405A" w:rsidRDefault="0080405A" w:rsidP="0080405A">
      <w:pPr>
        <w:tabs>
          <w:tab w:val="left" w:pos="567"/>
          <w:tab w:val="left" w:pos="1134"/>
        </w:tabs>
        <w:spacing w:after="160" w:line="259" w:lineRule="auto"/>
        <w:ind w:left="-142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3.2</w:t>
      </w:r>
      <w:r w:rsidR="006A7915" w:rsidRPr="0080405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</w:t>
      </w:r>
      <w:r w:rsidR="001F7BEA" w:rsidRPr="0080405A">
        <w:rPr>
          <w:sz w:val="24"/>
          <w:szCs w:val="24"/>
        </w:rPr>
        <w:t xml:space="preserve">Организаторите на наземни хазартни игри трябва да осигурят: </w:t>
      </w:r>
    </w:p>
    <w:p w:rsidR="001F7BEA" w:rsidRPr="00B3617E" w:rsidRDefault="001F7BEA" w:rsidP="0080405A">
      <w:pPr>
        <w:pStyle w:val="ListParagraph"/>
        <w:numPr>
          <w:ilvl w:val="0"/>
          <w:numId w:val="8"/>
        </w:numPr>
        <w:spacing w:after="160" w:line="259" w:lineRule="auto"/>
        <w:ind w:left="1134" w:hanging="425"/>
        <w:contextualSpacing/>
        <w:jc w:val="both"/>
        <w:rPr>
          <w:sz w:val="24"/>
          <w:szCs w:val="24"/>
        </w:rPr>
      </w:pPr>
      <w:r w:rsidRPr="00B3617E">
        <w:rPr>
          <w:sz w:val="24"/>
          <w:szCs w:val="24"/>
        </w:rPr>
        <w:t>достъп на тестващия екип от НАП до оборудване (</w:t>
      </w:r>
      <w:r w:rsidR="00424304" w:rsidRPr="00B3617E">
        <w:rPr>
          <w:sz w:val="24"/>
          <w:szCs w:val="24"/>
        </w:rPr>
        <w:t xml:space="preserve">play </w:t>
      </w:r>
      <w:r w:rsidRPr="00B3617E">
        <w:rPr>
          <w:sz w:val="24"/>
          <w:szCs w:val="24"/>
        </w:rPr>
        <w:t>station) за регистриране на залози;</w:t>
      </w:r>
    </w:p>
    <w:p w:rsidR="001F7BEA" w:rsidRDefault="001F7BEA" w:rsidP="001F7BEA">
      <w:pPr>
        <w:pStyle w:val="ListParagraph"/>
        <w:numPr>
          <w:ilvl w:val="0"/>
          <w:numId w:val="8"/>
        </w:numPr>
        <w:spacing w:after="160" w:line="259" w:lineRule="auto"/>
        <w:ind w:left="1134" w:hanging="425"/>
        <w:contextualSpacing/>
        <w:jc w:val="both"/>
        <w:rPr>
          <w:sz w:val="24"/>
          <w:szCs w:val="24"/>
        </w:rPr>
      </w:pPr>
      <w:r w:rsidRPr="00B3617E">
        <w:rPr>
          <w:sz w:val="24"/>
          <w:szCs w:val="24"/>
        </w:rPr>
        <w:t>д</w:t>
      </w:r>
      <w:r w:rsidR="00556BD7">
        <w:rPr>
          <w:sz w:val="24"/>
          <w:szCs w:val="24"/>
        </w:rPr>
        <w:t xml:space="preserve">остъп на тестващия екип от НАП </w:t>
      </w:r>
      <w:r w:rsidRPr="00B3617E">
        <w:rPr>
          <w:sz w:val="24"/>
          <w:szCs w:val="24"/>
        </w:rPr>
        <w:t>до административен интерфейс (back-office) на ЦКС;</w:t>
      </w:r>
    </w:p>
    <w:p w:rsidR="008E59AA" w:rsidRPr="008E59AA" w:rsidRDefault="008E59AA" w:rsidP="008E59AA">
      <w:pPr>
        <w:pStyle w:val="ListParagraph"/>
        <w:spacing w:after="160" w:line="259" w:lineRule="auto"/>
        <w:ind w:left="1134"/>
        <w:contextualSpacing/>
        <w:jc w:val="both"/>
        <w:rPr>
          <w:sz w:val="24"/>
          <w:szCs w:val="24"/>
        </w:rPr>
      </w:pPr>
    </w:p>
    <w:p w:rsidR="00E84474" w:rsidRPr="00CA1551" w:rsidRDefault="00F81806" w:rsidP="00C25F55">
      <w:pPr>
        <w:spacing w:before="240" w:after="120" w:line="360" w:lineRule="auto"/>
        <w:jc w:val="both"/>
        <w:rPr>
          <w:b/>
          <w:sz w:val="24"/>
          <w:szCs w:val="24"/>
        </w:rPr>
      </w:pPr>
      <w:r w:rsidRPr="00C25F55">
        <w:rPr>
          <w:b/>
          <w:sz w:val="24"/>
          <w:szCs w:val="24"/>
          <w:u w:val="single"/>
        </w:rPr>
        <w:t>ЧАСТ ПЪРВА</w:t>
      </w:r>
      <w:r w:rsidR="00F44845" w:rsidRPr="00B412A6">
        <w:rPr>
          <w:b/>
          <w:sz w:val="24"/>
          <w:szCs w:val="24"/>
        </w:rPr>
        <w:t>:</w:t>
      </w:r>
      <w:r w:rsidRPr="00B412A6">
        <w:rPr>
          <w:b/>
          <w:sz w:val="24"/>
          <w:szCs w:val="24"/>
        </w:rPr>
        <w:t xml:space="preserve"> </w:t>
      </w:r>
      <w:r w:rsidR="00B859A6">
        <w:rPr>
          <w:b/>
          <w:sz w:val="24"/>
          <w:szCs w:val="24"/>
        </w:rPr>
        <w:t>ТЕСТВАНЕ НА СИСТЕМИТЕ НА</w:t>
      </w:r>
      <w:r w:rsidR="00B859A6" w:rsidRPr="00B859A6">
        <w:rPr>
          <w:b/>
          <w:sz w:val="24"/>
          <w:szCs w:val="24"/>
        </w:rPr>
        <w:t xml:space="preserve"> </w:t>
      </w:r>
      <w:r w:rsidR="00AF4D1D">
        <w:rPr>
          <w:b/>
          <w:sz w:val="24"/>
          <w:szCs w:val="24"/>
        </w:rPr>
        <w:t xml:space="preserve">ОРГАНИЗАТОРИТЕ НА ОНЛАЙН </w:t>
      </w:r>
      <w:r w:rsidR="0050429E">
        <w:rPr>
          <w:b/>
          <w:sz w:val="24"/>
          <w:szCs w:val="24"/>
        </w:rPr>
        <w:t>ХАЗАРТНИ ИГРИ</w:t>
      </w:r>
      <w:r w:rsidR="00AF4D1D">
        <w:rPr>
          <w:b/>
          <w:sz w:val="24"/>
          <w:szCs w:val="24"/>
        </w:rPr>
        <w:t xml:space="preserve"> </w:t>
      </w:r>
      <w:r w:rsidR="00B859A6">
        <w:rPr>
          <w:b/>
          <w:sz w:val="24"/>
          <w:szCs w:val="24"/>
        </w:rPr>
        <w:t>СЪГЛАСНО ЧЛ.21 ОТ НАРЕДБАТА</w:t>
      </w:r>
    </w:p>
    <w:p w:rsidR="007A1FE0" w:rsidRPr="00B412A6" w:rsidRDefault="00E40869" w:rsidP="00B412A6">
      <w:pPr>
        <w:spacing w:before="240" w:after="120"/>
        <w:rPr>
          <w:b/>
          <w:sz w:val="24"/>
          <w:szCs w:val="24"/>
          <w:lang w:val="en-US"/>
        </w:rPr>
      </w:pPr>
      <w:r w:rsidRPr="00B412A6">
        <w:rPr>
          <w:b/>
          <w:sz w:val="24"/>
          <w:szCs w:val="24"/>
          <w:lang w:val="en-US"/>
        </w:rPr>
        <w:t>I</w:t>
      </w:r>
      <w:r w:rsidR="00880BF1" w:rsidRPr="00B412A6">
        <w:rPr>
          <w:b/>
          <w:sz w:val="24"/>
          <w:szCs w:val="24"/>
        </w:rPr>
        <w:t>.</w:t>
      </w:r>
      <w:r w:rsidR="007A1FE0" w:rsidRPr="00B412A6">
        <w:rPr>
          <w:b/>
          <w:sz w:val="24"/>
          <w:szCs w:val="24"/>
          <w:lang w:val="en-US"/>
        </w:rPr>
        <w:t xml:space="preserve"> </w:t>
      </w:r>
      <w:r w:rsidR="007A1FE0" w:rsidRPr="00B412A6">
        <w:rPr>
          <w:b/>
          <w:sz w:val="24"/>
          <w:szCs w:val="24"/>
        </w:rPr>
        <w:t>Преглед на документация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2068"/>
        <w:gridCol w:w="3260"/>
        <w:gridCol w:w="2829"/>
      </w:tblGrid>
      <w:tr w:rsidR="00A904E2" w:rsidRPr="00B412A6" w:rsidTr="00880BF1">
        <w:tc>
          <w:tcPr>
            <w:tcW w:w="904" w:type="dxa"/>
            <w:shd w:val="clear" w:color="auto" w:fill="D9D9D9" w:themeFill="background1" w:themeFillShade="D9"/>
            <w:vAlign w:val="center"/>
          </w:tcPr>
          <w:p w:rsidR="007A1FE0" w:rsidRPr="00B412A6" w:rsidRDefault="007A1FE0" w:rsidP="00D3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1FE0" w:rsidRPr="00B412A6" w:rsidRDefault="00570F28" w:rsidP="0057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Документи - съдържание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A1FE0" w:rsidRPr="00B412A6" w:rsidRDefault="00B2321D" w:rsidP="00D3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Проверява се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7A1FE0" w:rsidRPr="00B412A6" w:rsidRDefault="007A1FE0" w:rsidP="00CF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  <w:r w:rsidR="00CF3B32"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04E2" w:rsidRPr="00B412A6" w:rsidTr="003F26A3">
        <w:tc>
          <w:tcPr>
            <w:tcW w:w="904" w:type="dxa"/>
            <w:shd w:val="clear" w:color="auto" w:fill="auto"/>
            <w:vAlign w:val="center"/>
          </w:tcPr>
          <w:p w:rsidR="007A1FE0" w:rsidRPr="00B412A6" w:rsidRDefault="007A1FE0" w:rsidP="00D3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A1FE0" w:rsidRPr="00B412A6" w:rsidRDefault="007A1FE0" w:rsidP="00E4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Подадени документи съгласно чл. 20, ал. 2, 3 и 4 </w:t>
            </w:r>
            <w:r w:rsidR="000B7344"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Наредбата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1FE0" w:rsidRPr="00B412A6" w:rsidRDefault="007A1FE0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</w:t>
            </w:r>
            <w:r w:rsidR="00521B2D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представена в електронен вид 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A1FE0" w:rsidRPr="00B412A6" w:rsidRDefault="00FE339D" w:rsidP="0057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Налична докум</w:t>
            </w:r>
            <w:r w:rsidR="00570F28" w:rsidRPr="00B4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</w:p>
        </w:tc>
      </w:tr>
      <w:tr w:rsidR="00880BF1" w:rsidRPr="00B412A6" w:rsidTr="00880BF1">
        <w:tc>
          <w:tcPr>
            <w:tcW w:w="904" w:type="dxa"/>
            <w:shd w:val="clear" w:color="auto" w:fill="auto"/>
            <w:vAlign w:val="center"/>
          </w:tcPr>
          <w:p w:rsidR="00880BF1" w:rsidRPr="00B412A6" w:rsidRDefault="00880BF1" w:rsidP="00D3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80BF1" w:rsidRPr="00B412A6" w:rsidRDefault="00880BF1" w:rsidP="0052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Общо описание на системата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общо описание на функционалността на системата</w:t>
            </w:r>
            <w:r w:rsidR="0071340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(чл. 20, ал. 4 от Наредбата)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80BF1" w:rsidRPr="00B412A6" w:rsidRDefault="00880BF1" w:rsidP="00D3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Изисква се кратко общо описание на системата с посочване на </w:t>
            </w:r>
            <w:r w:rsidR="0071340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функционалността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основните й компоненти</w:t>
            </w:r>
          </w:p>
        </w:tc>
      </w:tr>
      <w:tr w:rsidR="00A904E2" w:rsidRPr="00B412A6" w:rsidTr="003F26A3">
        <w:tc>
          <w:tcPr>
            <w:tcW w:w="904" w:type="dxa"/>
            <w:shd w:val="clear" w:color="auto" w:fill="auto"/>
            <w:vAlign w:val="center"/>
          </w:tcPr>
          <w:p w:rsidR="007A1FE0" w:rsidRPr="003F26A3" w:rsidRDefault="00C03ED8" w:rsidP="00D3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A1FE0" w:rsidRPr="003F26A3" w:rsidRDefault="00521B2D" w:rsidP="00521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за ЦКС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1FE0" w:rsidRPr="003F26A3" w:rsidRDefault="007A1FE0" w:rsidP="00394E4F">
            <w:pPr>
              <w:pStyle w:val="ListParagraph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FE339D" w:rsidRPr="003F26A3" w:rsidRDefault="00FE339D" w:rsidP="00D3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E2" w:rsidRPr="00B412A6" w:rsidTr="00880BF1">
        <w:tc>
          <w:tcPr>
            <w:tcW w:w="904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068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Обща информация </w:t>
            </w:r>
          </w:p>
        </w:tc>
        <w:tc>
          <w:tcPr>
            <w:tcW w:w="3260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Проверява се: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 на ЦКС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тестване на ЦКС в лицензирана лаборатория 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Местонахожд</w:t>
            </w:r>
            <w:r w:rsidR="00DB399B" w:rsidRPr="00B4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 ЦКС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(физически адрес</w:t>
            </w:r>
            <w:r w:rsidR="00617928" w:rsidRPr="00617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81A99">
              <w:rPr>
                <w:rFonts w:ascii="Times New Roman" w:hAnsi="Times New Roman" w:cs="Times New Roman"/>
                <w:sz w:val="24"/>
                <w:szCs w:val="24"/>
              </w:rPr>
              <w:t xml:space="preserve">/облачно пространство/хостинг </w:t>
            </w:r>
            <w:r w:rsidR="00617928" w:rsidRPr="00617928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Друга релевантна информация за ЦКС (при необходимост)</w:t>
            </w:r>
          </w:p>
        </w:tc>
        <w:tc>
          <w:tcPr>
            <w:tcW w:w="2829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Точно посочени: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 на ЦКС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Протокол от тестване на ЦКС в лицензирана лаборатория – приложен (като минимум - № и дата</w:t>
            </w:r>
            <w:r w:rsidR="0079543E" w:rsidRPr="00B412A6">
              <w:rPr>
                <w:rFonts w:ascii="Times New Roman" w:hAnsi="Times New Roman" w:cs="Times New Roman"/>
                <w:sz w:val="24"/>
                <w:szCs w:val="24"/>
              </w:rPr>
              <w:t>, лаборатория-издател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Посочен конкретен физически адрес </w:t>
            </w:r>
            <w:r w:rsidR="0079543E" w:rsidRPr="00B412A6">
              <w:rPr>
                <w:rFonts w:ascii="Times New Roman" w:hAnsi="Times New Roman" w:cs="Times New Roman"/>
                <w:sz w:val="24"/>
                <w:szCs w:val="24"/>
              </w:rPr>
              <w:t>на ЦКС</w:t>
            </w:r>
          </w:p>
        </w:tc>
      </w:tr>
      <w:tr w:rsidR="00A904E2" w:rsidRPr="00B412A6" w:rsidTr="00880BF1">
        <w:tc>
          <w:tcPr>
            <w:tcW w:w="904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068" w:type="dxa"/>
            <w:vAlign w:val="center"/>
          </w:tcPr>
          <w:p w:rsidR="003E2D92" w:rsidRPr="00B412A6" w:rsidRDefault="0079543E" w:rsidP="0079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2D92" w:rsidRPr="00B412A6">
              <w:rPr>
                <w:rFonts w:ascii="Times New Roman" w:hAnsi="Times New Roman" w:cs="Times New Roman"/>
                <w:sz w:val="24"/>
                <w:szCs w:val="24"/>
              </w:rPr>
              <w:t>ункции на системата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във връзка с регистрацията на участниците</w:t>
            </w:r>
          </w:p>
        </w:tc>
        <w:tc>
          <w:tcPr>
            <w:tcW w:w="3260" w:type="dxa"/>
            <w:vAlign w:val="center"/>
          </w:tcPr>
          <w:p w:rsidR="003E2D92" w:rsidRPr="00B412A6" w:rsidRDefault="003E2D92" w:rsidP="002353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Проверява се: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функциите на системата </w:t>
            </w:r>
            <w:r w:rsidR="002E61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участниците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, вкл. реализирани контроли при въвеждане на данните</w:t>
            </w:r>
          </w:p>
          <w:p w:rsidR="003E2D92" w:rsidRPr="00B412A6" w:rsidRDefault="003E2D9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Спазване на изискванията за еднозначна идентификация на участниците съгласно чл. 2- 6 от </w:t>
            </w:r>
            <w:r w:rsidR="0070433E" w:rsidRPr="00B412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аредбата</w:t>
            </w:r>
          </w:p>
          <w:p w:rsidR="00A56458" w:rsidRPr="00B412A6" w:rsidRDefault="00A5645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Проверка, доколко изчерпателно и ясно са изброени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документите и информацията, които се изискват за потвърждаване на верификацията,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лучаите, при които се прави</w:t>
            </w:r>
            <w:r w:rsidR="0070433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верификация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както 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срокове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за приключване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то й.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D92" w:rsidRPr="00B412A6" w:rsidRDefault="00880BF1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Проверка за е</w:t>
            </w:r>
            <w:r w:rsidR="003E2D9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днаквост на описанието в документацията с публикуваните на сайта </w:t>
            </w:r>
            <w:r w:rsidR="0070433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 ОХИ </w:t>
            </w:r>
            <w:r w:rsidR="003E2D9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(представени в НАП) общи правила и условия по отношение на идентификацията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 верификацията </w:t>
            </w:r>
            <w:r w:rsidR="003E2D92" w:rsidRPr="00B412A6">
              <w:rPr>
                <w:rFonts w:ascii="Times New Roman" w:hAnsi="Times New Roman" w:cs="Times New Roman"/>
                <w:sz w:val="24"/>
                <w:szCs w:val="24"/>
              </w:rPr>
              <w:t>на участниците.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5E1" w:rsidRPr="00B412A6" w:rsidRDefault="002E25E1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 наличието на информация относно изпълнението на чл. 2, ал. 2 от Наредбата </w:t>
            </w:r>
            <w:r w:rsidR="00962E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географско локализиране на </w:t>
            </w:r>
            <w:r w:rsidR="00962EC6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962EC6" w:rsidRPr="00B412A6">
              <w:rPr>
                <w:rFonts w:ascii="Times New Roman" w:hAnsi="Times New Roman" w:cs="Times New Roman"/>
                <w:sz w:val="24"/>
                <w:szCs w:val="24"/>
              </w:rPr>
              <w:t>-адресите на участници, които се допуска да се регистрират (от територията на РБ)</w:t>
            </w:r>
          </w:p>
        </w:tc>
        <w:tc>
          <w:tcPr>
            <w:tcW w:w="2829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 конкретна информация</w:t>
            </w:r>
            <w:r w:rsidR="00EA177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по посочените булети в предходната колона</w:t>
            </w:r>
          </w:p>
          <w:p w:rsidR="002373AD" w:rsidRPr="00B412A6" w:rsidRDefault="002373AD" w:rsidP="003E2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BF1" w:rsidRPr="00B412A6" w:rsidTr="00880BF1">
        <w:tc>
          <w:tcPr>
            <w:tcW w:w="904" w:type="dxa"/>
            <w:vAlign w:val="center"/>
          </w:tcPr>
          <w:p w:rsidR="00880BF1" w:rsidRPr="00B412A6" w:rsidRDefault="00880BF1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68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Профили на участниците</w:t>
            </w:r>
          </w:p>
        </w:tc>
        <w:tc>
          <w:tcPr>
            <w:tcW w:w="3260" w:type="dxa"/>
            <w:vAlign w:val="center"/>
          </w:tcPr>
          <w:p w:rsidR="00880BF1" w:rsidRPr="00B412A6" w:rsidRDefault="00880BF1" w:rsidP="002E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описанието на функционалността, свързана с профилите на участниците </w:t>
            </w:r>
            <w:r w:rsidR="0042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допустими промени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регистрационните данни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0EA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 за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задаване на лимити </w:t>
            </w:r>
            <w:r w:rsidR="00BB072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участниците и др.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880BF1" w:rsidRPr="00B412A6" w:rsidRDefault="00880BF1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 конкретна информация</w:t>
            </w:r>
          </w:p>
        </w:tc>
      </w:tr>
      <w:tr w:rsidR="00880BF1" w:rsidRPr="00B412A6" w:rsidTr="00880BF1">
        <w:tc>
          <w:tcPr>
            <w:tcW w:w="904" w:type="dxa"/>
            <w:vAlign w:val="center"/>
          </w:tcPr>
          <w:p w:rsidR="00880BF1" w:rsidRPr="00B412A6" w:rsidRDefault="00880BF1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2068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Канали за комуникация между ОХИ и участниците</w:t>
            </w:r>
          </w:p>
        </w:tc>
        <w:tc>
          <w:tcPr>
            <w:tcW w:w="3260" w:type="dxa"/>
            <w:vAlign w:val="center"/>
          </w:tcPr>
          <w:p w:rsidR="00880BF1" w:rsidRPr="00B412A6" w:rsidRDefault="00880BF1" w:rsidP="00A1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</w:t>
            </w:r>
            <w:r w:rsidR="00A126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се канали за  комуникаци</w:t>
            </w:r>
            <w:r w:rsidR="00A126B6">
              <w:rPr>
                <w:rFonts w:ascii="Times New Roman" w:hAnsi="Times New Roman" w:cs="Times New Roman"/>
                <w:sz w:val="24"/>
                <w:szCs w:val="24"/>
              </w:rPr>
              <w:t>я с участниците – онлайн-чат, 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мейл, </w:t>
            </w:r>
            <w:r w:rsidR="00BB072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лична среща </w:t>
            </w:r>
            <w:r w:rsidR="0071340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B072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представяне на документи на хартия,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</w:p>
        </w:tc>
        <w:tc>
          <w:tcPr>
            <w:tcW w:w="2829" w:type="dxa"/>
            <w:vAlign w:val="center"/>
          </w:tcPr>
          <w:p w:rsidR="00880BF1" w:rsidRPr="00B412A6" w:rsidRDefault="00880BF1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 конкретна информация</w:t>
            </w:r>
          </w:p>
        </w:tc>
      </w:tr>
      <w:tr w:rsidR="00880BF1" w:rsidRPr="00B412A6" w:rsidTr="00880BF1">
        <w:tc>
          <w:tcPr>
            <w:tcW w:w="904" w:type="dxa"/>
            <w:vAlign w:val="center"/>
          </w:tcPr>
          <w:p w:rsidR="00880BF1" w:rsidRPr="00B412A6" w:rsidRDefault="00880BF1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68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Процедури по поддръжка (чл. 20. ал. 4 от Наредбата)</w:t>
            </w:r>
          </w:p>
        </w:tc>
        <w:tc>
          <w:tcPr>
            <w:tcW w:w="3260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описанието на процедурите по поддръжка на системата </w:t>
            </w:r>
          </w:p>
        </w:tc>
        <w:tc>
          <w:tcPr>
            <w:tcW w:w="2829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информация</w:t>
            </w:r>
          </w:p>
        </w:tc>
      </w:tr>
      <w:tr w:rsidR="00880BF1" w:rsidRPr="00B412A6" w:rsidTr="00880BF1">
        <w:tc>
          <w:tcPr>
            <w:tcW w:w="904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068" w:type="dxa"/>
            <w:vAlign w:val="center"/>
          </w:tcPr>
          <w:p w:rsidR="00880BF1" w:rsidRPr="00B412A6" w:rsidRDefault="00713404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Съобщения за грешки (чл. 20,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ал. 4 от Наредбата)</w:t>
            </w:r>
          </w:p>
        </w:tc>
        <w:tc>
          <w:tcPr>
            <w:tcW w:w="3260" w:type="dxa"/>
            <w:vAlign w:val="center"/>
          </w:tcPr>
          <w:p w:rsidR="00880BF1" w:rsidRPr="00B412A6" w:rsidRDefault="00752B16" w:rsidP="0075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 о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 съобщенията за грешки </w:t>
            </w:r>
          </w:p>
        </w:tc>
        <w:tc>
          <w:tcPr>
            <w:tcW w:w="2829" w:type="dxa"/>
            <w:vAlign w:val="center"/>
          </w:tcPr>
          <w:p w:rsidR="00880BF1" w:rsidRPr="00B412A6" w:rsidRDefault="00880BF1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информация</w:t>
            </w:r>
          </w:p>
        </w:tc>
      </w:tr>
      <w:tr w:rsidR="00A904E2" w:rsidRPr="00B412A6" w:rsidTr="00880BF1">
        <w:tc>
          <w:tcPr>
            <w:tcW w:w="904" w:type="dxa"/>
            <w:vAlign w:val="center"/>
          </w:tcPr>
          <w:p w:rsidR="003E2D92" w:rsidRPr="00B412A6" w:rsidRDefault="003E2D92" w:rsidP="008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8" w:type="dxa"/>
            <w:vAlign w:val="center"/>
          </w:tcPr>
          <w:p w:rsidR="003E2D92" w:rsidRPr="00B412A6" w:rsidRDefault="003E2D92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Индикация, че ЦКС изпълнява функциите на КЛС (ако е така)</w:t>
            </w:r>
          </w:p>
        </w:tc>
        <w:tc>
          <w:tcPr>
            <w:tcW w:w="3260" w:type="dxa"/>
            <w:vAlign w:val="center"/>
          </w:tcPr>
          <w:p w:rsidR="003E2D92" w:rsidRPr="00B412A6" w:rsidRDefault="003E2D92" w:rsidP="002E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се, дали </w:t>
            </w:r>
            <w:r w:rsidR="0082174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документацията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е посочено, че ЦКС</w:t>
            </w:r>
            <w:r w:rsidR="002E61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2E6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изпълнява функциите на КЛС </w:t>
            </w:r>
            <w:r w:rsidR="002E6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допустимо, в случай че ЦКС се намира на територията на страната</w:t>
            </w:r>
          </w:p>
        </w:tc>
        <w:tc>
          <w:tcPr>
            <w:tcW w:w="2829" w:type="dxa"/>
            <w:vAlign w:val="center"/>
          </w:tcPr>
          <w:p w:rsidR="003E2D92" w:rsidRPr="00B412A6" w:rsidRDefault="00821747" w:rsidP="004E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При отбелязване на това обстоятелство всички изисквания към КЛС следва да бъдат изпълнени от ЦКС</w:t>
            </w:r>
          </w:p>
        </w:tc>
      </w:tr>
      <w:tr w:rsidR="0096240F" w:rsidRPr="00B412A6" w:rsidTr="003F26A3">
        <w:tc>
          <w:tcPr>
            <w:tcW w:w="904" w:type="dxa"/>
            <w:shd w:val="clear" w:color="auto" w:fill="auto"/>
            <w:vAlign w:val="center"/>
          </w:tcPr>
          <w:p w:rsidR="00B859A2" w:rsidRPr="00B412A6" w:rsidRDefault="00B859A2" w:rsidP="003E2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859A2" w:rsidRPr="00B412A6" w:rsidRDefault="00B859A2" w:rsidP="003E2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за КЛС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59A2" w:rsidRPr="00B412A6" w:rsidRDefault="00B859A2" w:rsidP="00CE5C89">
            <w:pPr>
              <w:pStyle w:val="ListParagraph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B859A2" w:rsidRPr="00B412A6" w:rsidRDefault="00B859A2" w:rsidP="003E2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0F" w:rsidRPr="00B412A6" w:rsidTr="00880BF1">
        <w:tc>
          <w:tcPr>
            <w:tcW w:w="904" w:type="dxa"/>
            <w:vAlign w:val="center"/>
          </w:tcPr>
          <w:p w:rsidR="00CE5C89" w:rsidRPr="00B412A6" w:rsidRDefault="00CE5C89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068" w:type="dxa"/>
            <w:vAlign w:val="center"/>
          </w:tcPr>
          <w:p w:rsidR="00CE5C89" w:rsidRPr="00B412A6" w:rsidRDefault="00CE5C89" w:rsidP="00B8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Обща информация</w:t>
            </w:r>
          </w:p>
        </w:tc>
        <w:tc>
          <w:tcPr>
            <w:tcW w:w="3260" w:type="dxa"/>
            <w:vAlign w:val="center"/>
          </w:tcPr>
          <w:p w:rsidR="00752B16" w:rsidRPr="00B412A6" w:rsidRDefault="00752B16" w:rsidP="00752B16">
            <w:pPr>
              <w:pStyle w:val="List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наличието на </w:t>
            </w:r>
            <w:r w:rsidR="00C7718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обща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информация за</w:t>
            </w:r>
            <w:r w:rsidR="00C7718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КЛС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C89" w:rsidRPr="00B412A6" w:rsidRDefault="00CE5C89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</w:t>
            </w:r>
          </w:p>
          <w:p w:rsidR="00CE5C89" w:rsidRPr="00B412A6" w:rsidRDefault="00CE5C89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Физически адрес</w:t>
            </w:r>
            <w:r w:rsidR="00D81A99">
              <w:rPr>
                <w:rFonts w:ascii="Times New Roman" w:hAnsi="Times New Roman" w:cs="Times New Roman"/>
                <w:sz w:val="24"/>
                <w:szCs w:val="24"/>
              </w:rPr>
              <w:t>/облачно пространство/хостинг</w:t>
            </w:r>
            <w:r w:rsidR="00D37CEE" w:rsidRPr="00D37CE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  <w:p w:rsidR="00C7718A" w:rsidRPr="00B412A6" w:rsidRDefault="00C7718A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Друга релевантна информация</w:t>
            </w:r>
          </w:p>
        </w:tc>
        <w:tc>
          <w:tcPr>
            <w:tcW w:w="2829" w:type="dxa"/>
            <w:vAlign w:val="center"/>
          </w:tcPr>
          <w:p w:rsidR="00CE5C89" w:rsidRPr="00B412A6" w:rsidRDefault="00752B16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ясна </w:t>
            </w:r>
            <w:r w:rsidR="002E61D8">
              <w:rPr>
                <w:rFonts w:ascii="Times New Roman" w:hAnsi="Times New Roman" w:cs="Times New Roman"/>
                <w:sz w:val="24"/>
                <w:szCs w:val="24"/>
              </w:rPr>
              <w:t xml:space="preserve">и конкретна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6240F" w:rsidRPr="00B412A6" w:rsidTr="00880BF1">
        <w:tc>
          <w:tcPr>
            <w:tcW w:w="904" w:type="dxa"/>
            <w:vAlign w:val="center"/>
          </w:tcPr>
          <w:p w:rsidR="00CE5C89" w:rsidRPr="00B412A6" w:rsidRDefault="00CE5C89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068" w:type="dxa"/>
            <w:vAlign w:val="center"/>
          </w:tcPr>
          <w:p w:rsidR="00CE5C89" w:rsidRPr="00B412A6" w:rsidRDefault="00CE5C89" w:rsidP="00B8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Достъп до КЛС</w:t>
            </w:r>
          </w:p>
        </w:tc>
        <w:tc>
          <w:tcPr>
            <w:tcW w:w="3260" w:type="dxa"/>
            <w:vAlign w:val="center"/>
          </w:tcPr>
          <w:p w:rsidR="00DE41B2" w:rsidRPr="00B412A6" w:rsidRDefault="00DE41B2" w:rsidP="00DE41B2">
            <w:pPr>
              <w:pStyle w:val="ListParagraph"/>
              <w:ind w:left="221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се:</w:t>
            </w:r>
          </w:p>
          <w:p w:rsidR="00660BB1" w:rsidRPr="00B412A6" w:rsidRDefault="00660BB1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информация за достъпа до КЛС в процеса на тестване</w:t>
            </w:r>
            <w:r w:rsidR="00DE41B2" w:rsidRPr="00B41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C89" w:rsidRPr="00B412A6" w:rsidRDefault="00DE41B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BB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описание на начина, по който </w:t>
            </w:r>
            <w:r w:rsidR="007453C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="00AA175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60BB1" w:rsidRPr="00B412A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7453C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="00660BB1" w:rsidRPr="00B412A6">
              <w:rPr>
                <w:rFonts w:ascii="Times New Roman" w:hAnsi="Times New Roman" w:cs="Times New Roman"/>
                <w:sz w:val="24"/>
                <w:szCs w:val="24"/>
              </w:rPr>
              <w:t>осигурява непрекъснат дистанционен достъп до КЛС (ЦКС) на контролните органи от НАП и ДАНС</w:t>
            </w:r>
            <w:r w:rsidR="00774DA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след одобряване на системите</w:t>
            </w:r>
          </w:p>
        </w:tc>
        <w:tc>
          <w:tcPr>
            <w:tcW w:w="2829" w:type="dxa"/>
            <w:vAlign w:val="center"/>
          </w:tcPr>
          <w:p w:rsidR="00585424" w:rsidRPr="00B412A6" w:rsidRDefault="0058542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информация за достъпа до КЛС в процеса на тестване</w:t>
            </w:r>
          </w:p>
          <w:p w:rsidR="00294894" w:rsidRPr="00B412A6" w:rsidRDefault="0029489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Непрекъснатият дистанционен достъп за контролните органи от НАП и ДАНС следва да бъде осигурен в съответствие с </w:t>
            </w:r>
            <w:r w:rsidR="007453C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чл. 15, ал. 3 и 4 и чл. 16 от Наредбата, както </w:t>
            </w:r>
            <w:r w:rsidR="00AA175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от Насоките към ОХИ (</w:t>
            </w:r>
            <w:r w:rsidR="00F006D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акцент: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двуфакторна автентикация) </w:t>
            </w:r>
          </w:p>
          <w:p w:rsidR="00CE5C89" w:rsidRPr="00B412A6" w:rsidRDefault="00CE5C89" w:rsidP="003E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0F" w:rsidRPr="00B412A6" w:rsidTr="00880BF1">
        <w:tc>
          <w:tcPr>
            <w:tcW w:w="904" w:type="dxa"/>
            <w:vAlign w:val="center"/>
          </w:tcPr>
          <w:p w:rsidR="003C5EE2" w:rsidRPr="00B412A6" w:rsidRDefault="003C5EE2" w:rsidP="003C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2068" w:type="dxa"/>
            <w:vAlign w:val="center"/>
          </w:tcPr>
          <w:p w:rsidR="003C5EE2" w:rsidRPr="00B412A6" w:rsidRDefault="003C5EE2" w:rsidP="003C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Комуникация между ЦКС, КЛС и сървър на НАП </w:t>
            </w:r>
          </w:p>
        </w:tc>
        <w:tc>
          <w:tcPr>
            <w:tcW w:w="3260" w:type="dxa"/>
            <w:vAlign w:val="center"/>
          </w:tcPr>
          <w:p w:rsidR="00F006D7" w:rsidRPr="00B412A6" w:rsidRDefault="00F006D7" w:rsidP="00F0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се:</w:t>
            </w:r>
          </w:p>
          <w:p w:rsidR="003C5EE2" w:rsidRPr="00B412A6" w:rsidRDefault="003C5EE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информация относно начина и времевите параметри на предаване на данни от ЦКС към КЛС</w:t>
            </w:r>
          </w:p>
          <w:p w:rsidR="003C5EE2" w:rsidRPr="00B412A6" w:rsidRDefault="003C5EE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информация относно 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начина 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параметрите на предаване на данни от КЛС към сървър на НАП </w:t>
            </w:r>
          </w:p>
          <w:p w:rsidR="003C5EE2" w:rsidRPr="00B412A6" w:rsidRDefault="001D2F1D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информация за съхранението </w:t>
            </w:r>
            <w:r w:rsidR="009C232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 изпратените към НАП </w:t>
            </w:r>
            <w:r w:rsidR="009C2328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="009C2328" w:rsidRPr="00B412A6">
              <w:rPr>
                <w:rFonts w:ascii="Times New Roman" w:hAnsi="Times New Roman" w:cs="Times New Roman"/>
                <w:sz w:val="24"/>
                <w:szCs w:val="24"/>
              </w:rPr>
              <w:t>-съобщения  в оригиналния им вид и получените от сървъра на НАП съобщения-потвърждения (чл. 14 от Наредбата)</w:t>
            </w:r>
          </w:p>
        </w:tc>
        <w:tc>
          <w:tcPr>
            <w:tcW w:w="2829" w:type="dxa"/>
            <w:vAlign w:val="center"/>
          </w:tcPr>
          <w:p w:rsidR="003C5EE2" w:rsidRPr="00B412A6" w:rsidRDefault="003C5EE2" w:rsidP="002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ясна и </w:t>
            </w:r>
            <w:r w:rsidR="002D47D9" w:rsidRPr="00B412A6">
              <w:rPr>
                <w:rFonts w:ascii="Times New Roman" w:hAnsi="Times New Roman" w:cs="Times New Roman"/>
                <w:sz w:val="24"/>
                <w:szCs w:val="24"/>
              </w:rPr>
              <w:t>точна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="002D47D9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CFF" w:rsidRPr="00B412A6" w:rsidRDefault="002D47D9" w:rsidP="00F0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От описанието следва да е видно, че информацията се предава от ЦКС към КЛС в пълен обем. Времевите  параметри 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получаване на данните в НАП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следва да са в </w:t>
            </w:r>
            <w:r w:rsidR="00180BC5" w:rsidRPr="00B4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ъответствие с </w:t>
            </w:r>
            <w:r w:rsidR="00180BC5" w:rsidRPr="00B412A6">
              <w:rPr>
                <w:rFonts w:ascii="Times New Roman" w:hAnsi="Times New Roman" w:cs="Times New Roman"/>
                <w:sz w:val="24"/>
                <w:szCs w:val="24"/>
              </w:rPr>
              <w:t>чл. 8 от Наредбата и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80BC5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D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като минимум </w:t>
            </w:r>
            <w:r w:rsidR="00180BC5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съобразени с 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 w:rsidR="00F006D7" w:rsidRPr="00B412A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C5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толеранс от 30 минути 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>за т.</w:t>
            </w:r>
            <w:r w:rsidR="008D544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2 и 3 от чл. 8 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>(вж. Н</w:t>
            </w:r>
            <w:r w:rsidR="00180BC5" w:rsidRPr="00B412A6">
              <w:rPr>
                <w:rFonts w:ascii="Times New Roman" w:hAnsi="Times New Roman" w:cs="Times New Roman"/>
                <w:sz w:val="24"/>
                <w:szCs w:val="24"/>
              </w:rPr>
              <w:t>асоките към ОХИ</w:t>
            </w:r>
            <w:r w:rsidR="00FF2CF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904E2" w:rsidRPr="00B412A6" w:rsidTr="00814A83">
        <w:tc>
          <w:tcPr>
            <w:tcW w:w="904" w:type="dxa"/>
            <w:vAlign w:val="center"/>
          </w:tcPr>
          <w:p w:rsidR="003C5EE2" w:rsidRPr="00B412A6" w:rsidRDefault="00A904E2" w:rsidP="003C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C5EE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8" w:type="dxa"/>
            <w:vAlign w:val="center"/>
          </w:tcPr>
          <w:p w:rsidR="003C5EE2" w:rsidRPr="00B412A6" w:rsidRDefault="00A904E2" w:rsidP="00A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Съхранение на данни в КЛС </w:t>
            </w:r>
          </w:p>
        </w:tc>
        <w:tc>
          <w:tcPr>
            <w:tcW w:w="3260" w:type="dxa"/>
            <w:vAlign w:val="center"/>
          </w:tcPr>
          <w:p w:rsidR="00814A83" w:rsidRPr="00B412A6" w:rsidRDefault="00814A83" w:rsidP="00C7718A">
            <w:pPr>
              <w:pStyle w:val="ListParagraph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се:</w:t>
            </w:r>
          </w:p>
          <w:p w:rsidR="00814A83" w:rsidRPr="00B412A6" w:rsidRDefault="00814A83" w:rsidP="00C7718A">
            <w:pPr>
              <w:pStyle w:val="ListParagraph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49" w:rsidRPr="00B412A6" w:rsidRDefault="00A904E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Описание на начина, по който се съхраняват данните в КЛС</w:t>
            </w:r>
            <w:r w:rsidR="0096714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7B9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вида, в който се съхраняват </w:t>
            </w:r>
            <w:r w:rsidR="00492AE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(чл. 17 от Наредбата), </w:t>
            </w:r>
            <w:r w:rsidR="00967149" w:rsidRPr="00B412A6">
              <w:rPr>
                <w:rFonts w:ascii="Times New Roman" w:hAnsi="Times New Roman" w:cs="Times New Roman"/>
                <w:sz w:val="24"/>
                <w:szCs w:val="24"/>
              </w:rPr>
              <w:t>срокове</w:t>
            </w:r>
            <w:r w:rsidR="00492AEA" w:rsidRPr="00B412A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6714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 съхранение </w:t>
            </w:r>
          </w:p>
          <w:p w:rsidR="00527B9B" w:rsidRPr="00B412A6" w:rsidRDefault="00527B9B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Обхват на съхраняваните данни съгласно чл. 15, ал. 2 от Наредбата</w:t>
            </w:r>
          </w:p>
          <w:p w:rsidR="003C5EE2" w:rsidRPr="00B412A6" w:rsidRDefault="00967149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</w:t>
            </w:r>
            <w:r w:rsidR="003C5EE2" w:rsidRPr="00B412A6">
              <w:rPr>
                <w:rFonts w:ascii="Times New Roman" w:hAnsi="Times New Roman" w:cs="Times New Roman"/>
                <w:sz w:val="24"/>
                <w:szCs w:val="24"/>
              </w:rPr>
              <w:t>нформация относно логическото отделяне на данните в КЛС от всякакви други данни (чл. 19, ал. 1 от Наредбата)</w:t>
            </w:r>
          </w:p>
          <w:p w:rsidR="003C5EE2" w:rsidRPr="00B412A6" w:rsidRDefault="003C5EE2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Информация относно наличието на огледално копие на всички данни в КЛС и физическото му местонахождение (чл. 19, ал. 2 от Наредбата)</w:t>
            </w:r>
          </w:p>
        </w:tc>
        <w:tc>
          <w:tcPr>
            <w:tcW w:w="2829" w:type="dxa"/>
          </w:tcPr>
          <w:p w:rsidR="003C5EE2" w:rsidRPr="00B412A6" w:rsidRDefault="003C5EE2" w:rsidP="00814A83">
            <w:pPr>
              <w:pStyle w:val="List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 конкретна информация</w:t>
            </w:r>
            <w:r w:rsidR="00814A83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40F" w:rsidRPr="00B412A6" w:rsidRDefault="0096240F" w:rsidP="00DB6345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чл. 17 от Наредбата</w:t>
            </w:r>
            <w:r w:rsidR="00EF4120" w:rsidRPr="00B412A6">
              <w:rPr>
                <w:rFonts w:ascii="Times New Roman" w:hAnsi="Times New Roman" w:cs="Times New Roman"/>
                <w:sz w:val="24"/>
                <w:szCs w:val="24"/>
              </w:rPr>
              <w:t>; сроковете на съхранение</w:t>
            </w:r>
            <w:r w:rsidR="00814A8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EF412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с-но </w:t>
            </w:r>
            <w:r w:rsidR="005B0369" w:rsidRPr="00B412A6">
              <w:rPr>
                <w:rFonts w:ascii="Times New Roman" w:hAnsi="Times New Roman" w:cs="Times New Roman"/>
                <w:sz w:val="24"/>
                <w:szCs w:val="24"/>
              </w:rPr>
              <w:t>нормативните изисквания;</w:t>
            </w:r>
          </w:p>
          <w:p w:rsidR="005B0369" w:rsidRPr="00B412A6" w:rsidRDefault="005B0369" w:rsidP="00DB6345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чл. 15, ал. 2 от Наредбата</w:t>
            </w:r>
          </w:p>
          <w:p w:rsidR="0065573C" w:rsidRPr="00B412A6" w:rsidRDefault="0065573C" w:rsidP="0065573C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69" w:rsidRPr="00B412A6" w:rsidRDefault="005B0369" w:rsidP="00DB6345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тствие с нормат. </w:t>
            </w:r>
            <w:r w:rsidR="0065573C" w:rsidRPr="00B41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зискване</w:t>
            </w:r>
          </w:p>
          <w:p w:rsidR="0065573C" w:rsidRPr="00B412A6" w:rsidRDefault="0065573C" w:rsidP="0065573C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C" w:rsidRPr="00B412A6" w:rsidRDefault="0065573C" w:rsidP="0065573C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C" w:rsidRPr="00B412A6" w:rsidRDefault="0065573C" w:rsidP="0065573C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C" w:rsidRPr="00B412A6" w:rsidRDefault="0065573C" w:rsidP="00DB6345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</w:t>
            </w:r>
            <w:r w:rsidR="00880BF1" w:rsidRPr="00B4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тствие с нормат. изискване</w:t>
            </w:r>
          </w:p>
        </w:tc>
      </w:tr>
      <w:tr w:rsidR="00185A81" w:rsidRPr="00B412A6" w:rsidTr="00880BF1">
        <w:tc>
          <w:tcPr>
            <w:tcW w:w="904" w:type="dxa"/>
            <w:vAlign w:val="center"/>
          </w:tcPr>
          <w:p w:rsidR="00185A81" w:rsidRPr="00B412A6" w:rsidRDefault="00185A81" w:rsidP="003C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2068" w:type="dxa"/>
            <w:vAlign w:val="center"/>
          </w:tcPr>
          <w:p w:rsidR="00185A81" w:rsidRPr="00B412A6" w:rsidRDefault="00185A81" w:rsidP="003C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 софтуер на КЛС </w:t>
            </w:r>
          </w:p>
        </w:tc>
        <w:tc>
          <w:tcPr>
            <w:tcW w:w="3260" w:type="dxa"/>
            <w:vAlign w:val="center"/>
          </w:tcPr>
          <w:p w:rsidR="00185A81" w:rsidRPr="00B412A6" w:rsidRDefault="00185A81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функционалността на приложния софтуер на КЛС за извеждане на справки съгласно чл. 15,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ал. 3 от Наредбата и </w:t>
            </w:r>
            <w:r w:rsidR="003412A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 съответствие с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примерните справки в Приложение №2 от Насоките към ОХИ; </w:t>
            </w:r>
          </w:p>
          <w:p w:rsidR="00185A81" w:rsidRPr="00B412A6" w:rsidRDefault="00185A81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 случай че няма съответствие с примерните справки от Насоките към ОХИ, се проверява дали е представена информация - таблица на съответствието (m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apping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6A77" w:rsidRPr="00B41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коя информация от съответната примерна справка може да бъде изведена </w:t>
            </w:r>
            <w:r w:rsidR="00586A77" w:rsidRPr="00B4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коя справка в </w:t>
            </w:r>
            <w:r w:rsidR="00586A7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приложния софтуер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КЛС </w:t>
            </w:r>
          </w:p>
          <w:p w:rsidR="00185A81" w:rsidRPr="00B412A6" w:rsidRDefault="00185A81" w:rsidP="0018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185A81" w:rsidRPr="00B412A6" w:rsidRDefault="0060260C" w:rsidP="004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Реализираните справки в приложния софтуер са описани – посочени са възможните критерии за избор (филтриране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информацията) и обхват на извежданата информация</w:t>
            </w:r>
            <w:r w:rsidR="004D3B8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B82" w:rsidRPr="00B412A6" w:rsidRDefault="00E11692" w:rsidP="004D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Посочено е</w:t>
            </w:r>
            <w:r w:rsidR="004D3B8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коя справка на коя примерна справка от Приложение №2 от насоките към ОХИ съответства.</w:t>
            </w:r>
          </w:p>
        </w:tc>
      </w:tr>
    </w:tbl>
    <w:p w:rsidR="00A03D33" w:rsidRPr="00B412A6" w:rsidRDefault="00487AF9" w:rsidP="00B412A6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  <w:lang w:val="en-US"/>
        </w:rPr>
        <w:lastRenderedPageBreak/>
        <w:t xml:space="preserve">II. </w:t>
      </w:r>
      <w:r w:rsidRPr="00B412A6">
        <w:rPr>
          <w:b/>
          <w:sz w:val="24"/>
          <w:szCs w:val="24"/>
        </w:rPr>
        <w:t xml:space="preserve">Тестване: </w:t>
      </w:r>
      <w:r w:rsidR="00A03D33" w:rsidRPr="00B412A6">
        <w:rPr>
          <w:b/>
          <w:sz w:val="24"/>
          <w:szCs w:val="24"/>
        </w:rPr>
        <w:t>Регистрация и идентификация на участниците в онлайн залагания</w:t>
      </w:r>
      <w:r w:rsidRPr="00B412A6">
        <w:rPr>
          <w:b/>
          <w:sz w:val="24"/>
          <w:szCs w:val="24"/>
        </w:rPr>
        <w:t>. Тестови залагания</w:t>
      </w:r>
      <w:r w:rsidR="00A03D33" w:rsidRPr="00B412A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987"/>
        <w:gridCol w:w="2411"/>
        <w:gridCol w:w="3579"/>
      </w:tblGrid>
      <w:tr w:rsidR="00B412A6" w:rsidRPr="00B412A6" w:rsidTr="00D37CEE"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B4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4E1DD9" w:rsidRPr="00B412A6" w:rsidTr="00D37CEE">
        <w:tc>
          <w:tcPr>
            <w:tcW w:w="1084" w:type="dxa"/>
            <w:shd w:val="clear" w:color="auto" w:fill="FFFFFF" w:themeFill="background1"/>
            <w:vAlign w:val="center"/>
          </w:tcPr>
          <w:p w:rsidR="004E1DD9" w:rsidRPr="00B412A6" w:rsidRDefault="004E1DD9" w:rsidP="00C31445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4E1DD9" w:rsidRPr="00B412A6" w:rsidRDefault="004E1DD9" w:rsidP="00B412A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4E1DD9" w:rsidRPr="0053318C" w:rsidRDefault="004E1DD9" w:rsidP="00533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18C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Тестовете стартират с подаване от системата на ОХИ на </w:t>
            </w:r>
            <w:r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53318C">
              <w:rPr>
                <w:rFonts w:ascii="Times New Roman" w:hAnsi="Times New Roman" w:cs="Times New Roman"/>
                <w:sz w:val="24"/>
                <w:szCs w:val="24"/>
              </w:rPr>
              <w:t xml:space="preserve">-файл съгласно Приложение №1 от Наредбата – вж. т. </w:t>
            </w:r>
            <w:r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3318C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</w:t>
            </w:r>
          </w:p>
        </w:tc>
        <w:tc>
          <w:tcPr>
            <w:tcW w:w="3579" w:type="dxa"/>
            <w:shd w:val="clear" w:color="auto" w:fill="FFFFFF" w:themeFill="background1"/>
            <w:vAlign w:val="center"/>
          </w:tcPr>
          <w:p w:rsidR="004E1DD9" w:rsidRPr="00B56E5F" w:rsidRDefault="0053318C" w:rsidP="00B5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5F">
              <w:rPr>
                <w:rFonts w:ascii="Times New Roman" w:hAnsi="Times New Roman" w:cs="Times New Roman"/>
                <w:sz w:val="24"/>
                <w:szCs w:val="24"/>
              </w:rPr>
              <w:t xml:space="preserve">Генериран </w:t>
            </w:r>
            <w:r w:rsidR="00B56E5F" w:rsidRPr="00B56E5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регистрационен </w:t>
            </w:r>
            <w:r w:rsidRPr="00B5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="00B56E5F" w:rsidRPr="00B56E5F">
              <w:rPr>
                <w:rFonts w:ascii="Times New Roman" w:hAnsi="Times New Roman" w:cs="Times New Roman"/>
                <w:sz w:val="24"/>
                <w:szCs w:val="24"/>
              </w:rPr>
              <w:t xml:space="preserve">от сървър на НАП при успешна първоначална регистрация на ОХИ. </w:t>
            </w:r>
          </w:p>
        </w:tc>
      </w:tr>
      <w:tr w:rsidR="00B412A6" w:rsidRPr="00B412A6" w:rsidTr="003F26A3">
        <w:tc>
          <w:tcPr>
            <w:tcW w:w="1084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03D33" w:rsidRPr="00B412A6" w:rsidRDefault="00A03D33" w:rsidP="00B4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Система за регистрация и идентификация на участниците в игрите</w:t>
            </w:r>
            <w:r w:rsidR="0006165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(чл.6, ал. 1, т. 4 от ЗХ</w:t>
            </w:r>
            <w:r w:rsidR="000D08E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 чл. 2, ал. 1 от Наредбата</w:t>
            </w:r>
            <w:r w:rsidR="00061650"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D33" w:rsidRPr="00B412A6" w:rsidRDefault="00061650" w:rsidP="0006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Наличието на такава система се у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становява в потребителския интерфейс </w:t>
            </w:r>
            <w:r w:rsidR="007F3FC2" w:rsidRPr="00B412A6">
              <w:rPr>
                <w:rFonts w:ascii="Times New Roman" w:hAnsi="Times New Roman" w:cs="Times New Roman"/>
                <w:sz w:val="24"/>
                <w:szCs w:val="24"/>
              </w:rPr>
              <w:t>на ЦКС</w:t>
            </w:r>
            <w:r w:rsidR="00FB3E0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(сайта за залагания)</w:t>
            </w:r>
            <w:r w:rsidR="007F3FC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A03D33" w:rsidRPr="00B412A6" w:rsidRDefault="00A03D33" w:rsidP="008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форма за регистрация на участниците</w:t>
            </w:r>
            <w:r w:rsidR="00921AB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21AB7" w:rsidRPr="00B412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921AB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задължителните полета за попълване съгласно изискванията на Наредбата </w:t>
            </w:r>
          </w:p>
        </w:tc>
      </w:tr>
      <w:tr w:rsidR="00B0489C" w:rsidRPr="00B412A6" w:rsidTr="003F26A3">
        <w:tc>
          <w:tcPr>
            <w:tcW w:w="1084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03D33" w:rsidRPr="00B412A6" w:rsidRDefault="00A03D33" w:rsidP="005D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Публикувана на сайта на ОХИ процедура за идентификация на участниците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чл. 6</w:t>
            </w:r>
            <w:r w:rsidR="005D2B5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Проверка за публикувана на сайта на ОХИ процедура за идентификация на участниците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A03D33" w:rsidRPr="00B412A6" w:rsidRDefault="00A03D33" w:rsidP="008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публикувана на сайта процедура за идентификация на участниците, съответстваща на подадената документация по чл. 20, ал. </w:t>
            </w:r>
            <w:r w:rsidR="00844DC8" w:rsidRPr="00B41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2A6" w:rsidRPr="00B412A6" w:rsidTr="003F26A3">
        <w:tc>
          <w:tcPr>
            <w:tcW w:w="1084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Изисквана информация при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на участниците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чл. 3, ал. 1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Формата за регистрация съдържа всички изискуеми данни за регистрация</w:t>
            </w:r>
          </w:p>
        </w:tc>
        <w:tc>
          <w:tcPr>
            <w:tcW w:w="2411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Преглед на формата за регистрация за съответствие с изискванията</w:t>
            </w:r>
          </w:p>
        </w:tc>
        <w:tc>
          <w:tcPr>
            <w:tcW w:w="3579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Формата съдържа всички задължителни полета 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Отказ за регистрация на участник при непопълване на задължително изискващата се информация </w:t>
            </w:r>
          </w:p>
        </w:tc>
        <w:tc>
          <w:tcPr>
            <w:tcW w:w="2411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Извършване на тестова регистрация на участници:</w:t>
            </w:r>
          </w:p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C6" w:rsidRPr="00B412A6" w:rsidTr="00D37CEE">
        <w:tc>
          <w:tcPr>
            <w:tcW w:w="1084" w:type="dxa"/>
            <w:vAlign w:val="center"/>
          </w:tcPr>
          <w:p w:rsidR="007758C6" w:rsidRPr="00B412A6" w:rsidRDefault="00644F58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987" w:type="dxa"/>
            <w:vAlign w:val="center"/>
          </w:tcPr>
          <w:p w:rsidR="007758C6" w:rsidRPr="00B412A6" w:rsidRDefault="007758C6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Гражданство (чл. 3, ал. 1, т. 1</w:t>
            </w:r>
            <w:r w:rsidR="00D25A2B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7758C6" w:rsidRPr="00B412A6" w:rsidRDefault="00273645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 непопълнено гражданство на участника </w:t>
            </w:r>
          </w:p>
        </w:tc>
        <w:tc>
          <w:tcPr>
            <w:tcW w:w="3579" w:type="dxa"/>
            <w:vAlign w:val="center"/>
          </w:tcPr>
          <w:p w:rsidR="007758C6" w:rsidRPr="00B412A6" w:rsidRDefault="00273645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</w:p>
        </w:tc>
      </w:tr>
      <w:tr w:rsidR="007758C6" w:rsidRPr="00B412A6" w:rsidTr="00D37CEE">
        <w:tc>
          <w:tcPr>
            <w:tcW w:w="1084" w:type="dxa"/>
            <w:vAlign w:val="center"/>
          </w:tcPr>
          <w:p w:rsidR="007758C6" w:rsidRPr="00B412A6" w:rsidRDefault="00644F58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987" w:type="dxa"/>
            <w:vAlign w:val="center"/>
          </w:tcPr>
          <w:p w:rsidR="007758C6" w:rsidRPr="00B412A6" w:rsidRDefault="00273645" w:rsidP="002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Имена по документ за самоличност (ч</w:t>
            </w:r>
            <w:r w:rsidR="0022225E" w:rsidRPr="00B412A6">
              <w:rPr>
                <w:rFonts w:ascii="Times New Roman" w:hAnsi="Times New Roman" w:cs="Times New Roman"/>
                <w:sz w:val="24"/>
                <w:szCs w:val="24"/>
              </w:rPr>
              <w:t>л. 3, ал. 1, т. 2</w:t>
            </w:r>
            <w:r w:rsidR="00D25A2B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Регистрация с непопълнено име или фамилия</w:t>
            </w:r>
            <w:r w:rsidR="002F44C1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C1" w:rsidRPr="00B412A6" w:rsidRDefault="002F44C1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1" w:rsidRPr="00B412A6" w:rsidRDefault="002F44C1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 попълнен само по 1 символ в полетата за име и фамилия </w:t>
            </w:r>
          </w:p>
        </w:tc>
        <w:tc>
          <w:tcPr>
            <w:tcW w:w="3579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</w:p>
          <w:p w:rsidR="002F44C1" w:rsidRPr="00B412A6" w:rsidRDefault="002F44C1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1" w:rsidRPr="00B412A6" w:rsidRDefault="002F44C1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1" w:rsidRPr="00B412A6" w:rsidRDefault="00362DB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</w:p>
          <w:p w:rsidR="002F44C1" w:rsidRPr="00B412A6" w:rsidRDefault="002F44C1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7C" w:rsidRPr="00B412A6" w:rsidTr="00D37CEE">
        <w:tc>
          <w:tcPr>
            <w:tcW w:w="1084" w:type="dxa"/>
            <w:vMerge w:val="restart"/>
            <w:vAlign w:val="center"/>
          </w:tcPr>
          <w:p w:rsidR="00D3617C" w:rsidRPr="00B412A6" w:rsidRDefault="00644F58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987" w:type="dxa"/>
            <w:vMerge w:val="restart"/>
            <w:vAlign w:val="center"/>
          </w:tcPr>
          <w:p w:rsidR="00D3617C" w:rsidRPr="00B412A6" w:rsidRDefault="00D3617C" w:rsidP="00D2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участника (чл. 3, ал. 1, т. 3</w:t>
            </w:r>
            <w:r w:rsidR="00D25A2B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възможността за избор на тип на идентификатора на участника </w:t>
            </w:r>
          </w:p>
        </w:tc>
        <w:tc>
          <w:tcPr>
            <w:tcW w:w="3579" w:type="dxa"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поле за тип на идентификатора на участника</w:t>
            </w:r>
          </w:p>
        </w:tc>
      </w:tr>
      <w:tr w:rsidR="00D3617C" w:rsidRPr="00B412A6" w:rsidTr="00D37CEE">
        <w:tc>
          <w:tcPr>
            <w:tcW w:w="1084" w:type="dxa"/>
            <w:vMerge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3617C" w:rsidRPr="00B412A6" w:rsidRDefault="00D3617C" w:rsidP="00D3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Регистрация с невалиден ЕГН</w:t>
            </w:r>
          </w:p>
        </w:tc>
        <w:tc>
          <w:tcPr>
            <w:tcW w:w="3579" w:type="dxa"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</w:p>
        </w:tc>
      </w:tr>
      <w:tr w:rsidR="00D3617C" w:rsidRPr="00B412A6" w:rsidTr="00D37CEE">
        <w:tc>
          <w:tcPr>
            <w:tcW w:w="1084" w:type="dxa"/>
            <w:vMerge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Регистрация с невалиден ЛНЧ</w:t>
            </w:r>
          </w:p>
        </w:tc>
        <w:tc>
          <w:tcPr>
            <w:tcW w:w="3579" w:type="dxa"/>
            <w:vAlign w:val="center"/>
          </w:tcPr>
          <w:p w:rsidR="00D3617C" w:rsidRPr="00B412A6" w:rsidRDefault="00D361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644F58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987" w:type="dxa"/>
            <w:vAlign w:val="center"/>
          </w:tcPr>
          <w:p w:rsidR="007758C6" w:rsidRPr="00B412A6" w:rsidRDefault="00014F06" w:rsidP="0001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Идентифициране на лица без ЕГН, или ЛНЧ/ЛН или Сл. номер на НАП или ЕИК на ЧФЛ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(ч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>л. 3, ал. 1, т. 4</w:t>
            </w:r>
            <w:r w:rsidR="00D25A2B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981EBB" w:rsidRPr="00B412A6" w:rsidRDefault="007758C6" w:rsidP="0098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При идентификатор от тип, различен от тип ЕГН, ЛНЧ,</w:t>
            </w:r>
            <w:r w:rsidR="009A347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ЛН, </w:t>
            </w:r>
            <w:r w:rsidR="00FC5CB4" w:rsidRPr="00B4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C5CB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омер на НАП, ЕИК на ЧФЛ</w:t>
            </w:r>
            <w:r w:rsidR="00FC5CB4" w:rsidRPr="00B41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се проверява за задължително попълване на</w:t>
            </w:r>
            <w:r w:rsidR="00981EBB" w:rsidRPr="00B41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EBB" w:rsidRPr="00B412A6" w:rsidRDefault="00981EBB" w:rsidP="00DB6345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>в България или в др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държава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EBB" w:rsidRPr="00B412A6" w:rsidRDefault="007758C6" w:rsidP="00DB6345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дата на раждане, 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номер, дата и издател на документ за самоличност</w:t>
            </w:r>
            <w:r w:rsidR="00E1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ЦКС изисква задължително попълване на </w:t>
            </w:r>
            <w:r w:rsidR="009A347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посочените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данни.</w:t>
            </w:r>
          </w:p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 непопълване </w:t>
            </w:r>
            <w:r w:rsidR="009A347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отказва регистрация.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644F58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987" w:type="dxa"/>
            <w:vAlign w:val="center"/>
          </w:tcPr>
          <w:p w:rsidR="007758C6" w:rsidRPr="00B412A6" w:rsidRDefault="00A527B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Допълнителни доказателства за идентифициране на участник (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>чл. 3, ал. 2</w:t>
            </w:r>
            <w:r w:rsidR="00D25A2B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F20691" w:rsidRPr="00B412A6" w:rsidRDefault="007758C6" w:rsidP="00DB6345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B40A9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ява се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дали се изискват  допълнителни доказателства при съмнение, че информацията относно идентификацията на участника н</w:t>
            </w:r>
            <w:r w:rsidR="00C21A16" w:rsidRPr="00B4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0E1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е достатъчна или достоверна</w:t>
            </w:r>
            <w:r w:rsidR="00F20691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DB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8C6" w:rsidRPr="00B412A6" w:rsidRDefault="00750E18" w:rsidP="00DB6345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се, дали при регистриране на </w:t>
            </w:r>
            <w:r w:rsidR="00F2069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, за кой</w:t>
            </w:r>
            <w:r w:rsidR="00773C7C" w:rsidRPr="00B412A6">
              <w:rPr>
                <w:rFonts w:ascii="Times New Roman" w:hAnsi="Times New Roman" w:cs="Times New Roman"/>
                <w:sz w:val="24"/>
                <w:szCs w:val="24"/>
              </w:rPr>
              <w:t>то би следвало да се изискат</w:t>
            </w:r>
            <w:r w:rsidR="00F2069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допълнителни доказателства за идентификация</w:t>
            </w:r>
            <w:r w:rsidR="00773C7C" w:rsidRPr="00B412A6">
              <w:rPr>
                <w:rFonts w:ascii="Times New Roman" w:hAnsi="Times New Roman" w:cs="Times New Roman"/>
                <w:sz w:val="24"/>
                <w:szCs w:val="24"/>
              </w:rPr>
              <w:t>, действително се изискват такива</w:t>
            </w:r>
            <w:r w:rsidR="00F20691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7758C6" w:rsidRPr="00B412A6" w:rsidRDefault="00773C7C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на описанието в документацията с реализацията в системата </w:t>
            </w:r>
          </w:p>
          <w:p w:rsidR="00FC5CB4" w:rsidRPr="00B412A6" w:rsidRDefault="00FC5CB4" w:rsidP="00A5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7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Отказ за регистрация на участник под 18-годишна възраст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чл. 2, ал. 3</w:t>
            </w:r>
            <w:r w:rsidR="00D25A2B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1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Проверка за регистрация на лице под 18-годишна възраст</w:t>
            </w:r>
            <w:r w:rsidR="00E1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D37CEE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Регистрация на участник при изпълнение на изискванията на чл. 2 и чл. 3</w:t>
            </w:r>
            <w:r w:rsidR="004D39C0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  <w:tc>
          <w:tcPr>
            <w:tcW w:w="2411" w:type="dxa"/>
            <w:vAlign w:val="center"/>
          </w:tcPr>
          <w:p w:rsidR="007758C6" w:rsidRPr="00B412A6" w:rsidRDefault="00B0489C" w:rsidP="007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 дали ЦКС регистрира участни</w:t>
            </w:r>
            <w:r w:rsidR="00714AA7" w:rsidRPr="00B412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, при условие</w:t>
            </w:r>
            <w:r w:rsidR="0042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че са попълнени всички изискуеми данни</w:t>
            </w:r>
            <w:r w:rsidR="0095583B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регистрира участника с попълнените данни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D37CEE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87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Промяна на данни за регистриран участник</w:t>
            </w:r>
          </w:p>
        </w:tc>
        <w:tc>
          <w:tcPr>
            <w:tcW w:w="2411" w:type="dxa"/>
            <w:vAlign w:val="center"/>
          </w:tcPr>
          <w:p w:rsidR="007758C6" w:rsidRPr="00B412A6" w:rsidRDefault="00714AA7" w:rsidP="00CF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Променят се част от данните на регистриран участник, като се п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роверява  записването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им в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  <w:r w:rsidR="0095583B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38D" w:rsidRPr="00B412A6" w:rsidRDefault="00B5238D" w:rsidP="00B5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Преценява се допустимостта на промените – адрес, телефон, др. </w:t>
            </w:r>
          </w:p>
          <w:p w:rsidR="00B5238D" w:rsidRPr="00B412A6" w:rsidRDefault="00B5238D" w:rsidP="00CF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2C7507" w:rsidRPr="00B412A6" w:rsidRDefault="007758C6" w:rsidP="00B5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ЦКС </w:t>
            </w:r>
            <w:r w:rsidR="007F504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допуска промяна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7F5042" w:rsidRPr="00B412A6">
              <w:rPr>
                <w:rFonts w:ascii="Times New Roman" w:hAnsi="Times New Roman" w:cs="Times New Roman"/>
                <w:sz w:val="24"/>
                <w:szCs w:val="24"/>
              </w:rPr>
              <w:t>ационни данни на участник и ги съхранява. Допустимите промени трябва да са в съответствие с посочените в документацията</w:t>
            </w:r>
            <w:r w:rsidR="00B5238D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6BA8" w:rsidRPr="00B412A6" w:rsidTr="00D37CEE">
        <w:tc>
          <w:tcPr>
            <w:tcW w:w="1084" w:type="dxa"/>
            <w:vAlign w:val="center"/>
          </w:tcPr>
          <w:p w:rsidR="00A26BA8" w:rsidRPr="00B412A6" w:rsidRDefault="00D37CEE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26BA8" w:rsidRPr="00B412A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87" w:type="dxa"/>
            <w:vAlign w:val="center"/>
          </w:tcPr>
          <w:p w:rsidR="00A26BA8" w:rsidRPr="00B412A6" w:rsidRDefault="00A26BA8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Жалби и рекламации</w:t>
            </w:r>
          </w:p>
        </w:tc>
        <w:tc>
          <w:tcPr>
            <w:tcW w:w="2411" w:type="dxa"/>
            <w:vAlign w:val="center"/>
          </w:tcPr>
          <w:p w:rsidR="00A26BA8" w:rsidRPr="00B412A6" w:rsidRDefault="00A26BA8" w:rsidP="008B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Подават се жалби от тестови участници по обявените канали за комуникация</w:t>
            </w:r>
            <w:r w:rsidR="00E1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vAlign w:val="center"/>
          </w:tcPr>
          <w:p w:rsidR="00A26BA8" w:rsidRDefault="00573DAF" w:rsidP="00BD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ЦКС допуска подаване на жалби и осигурява предоставяне на обратна информация </w:t>
            </w:r>
            <w:r w:rsidR="00BD6CCA">
              <w:rPr>
                <w:rFonts w:ascii="Times New Roman" w:hAnsi="Times New Roman" w:cs="Times New Roman"/>
                <w:sz w:val="24"/>
                <w:szCs w:val="24"/>
              </w:rPr>
              <w:t xml:space="preserve">на участника от страна на ОХИ </w:t>
            </w:r>
          </w:p>
          <w:p w:rsidR="00BD6CCA" w:rsidRPr="00B412A6" w:rsidRDefault="00BD6CCA" w:rsidP="00BD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/Допустими са и канали на комуникация извън ЦКС, но информация за подадените жалби/рекламации задължително се съхранява в Регистъра </w:t>
            </w:r>
            <w:r w:rsidR="00924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участниците в ЦКС/</w:t>
            </w:r>
          </w:p>
        </w:tc>
      </w:tr>
      <w:tr w:rsidR="00502DBE" w:rsidRPr="00B412A6" w:rsidTr="00D37CEE">
        <w:tc>
          <w:tcPr>
            <w:tcW w:w="1084" w:type="dxa"/>
            <w:vAlign w:val="center"/>
          </w:tcPr>
          <w:p w:rsidR="00502DBE" w:rsidRPr="00B412A6" w:rsidRDefault="00D37CEE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02DBE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vAlign w:val="center"/>
          </w:tcPr>
          <w:p w:rsidR="00502DBE" w:rsidRPr="00B412A6" w:rsidRDefault="00502DBE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Профил на участниците</w:t>
            </w:r>
          </w:p>
        </w:tc>
        <w:tc>
          <w:tcPr>
            <w:tcW w:w="2411" w:type="dxa"/>
            <w:vAlign w:val="center"/>
          </w:tcPr>
          <w:p w:rsidR="008B002A" w:rsidRPr="00B412A6" w:rsidRDefault="00502DBE" w:rsidP="008B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 функционалността на профила на участниците</w:t>
            </w:r>
            <w:r w:rsidR="008B002A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DBE" w:rsidRPr="00B412A6" w:rsidRDefault="00502DBE" w:rsidP="0059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 дали</w:t>
            </w:r>
            <w:r w:rsidR="008B002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зададени ограничения </w:t>
            </w:r>
            <w:r w:rsidR="00BA161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от тестови участник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достъп до сайта, </w:t>
            </w:r>
            <w:r w:rsidR="00592F2F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лимит на залозите, друго</w:t>
            </w:r>
            <w:r w:rsidR="00BA161B" w:rsidRPr="00B412A6">
              <w:rPr>
                <w:rFonts w:ascii="Times New Roman" w:hAnsi="Times New Roman" w:cs="Times New Roman"/>
                <w:sz w:val="24"/>
                <w:szCs w:val="24"/>
              </w:rPr>
              <w:t>, функционира</w:t>
            </w:r>
            <w:r w:rsidR="00592F2F" w:rsidRPr="00B412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161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правилно. </w:t>
            </w:r>
          </w:p>
        </w:tc>
        <w:tc>
          <w:tcPr>
            <w:tcW w:w="3579" w:type="dxa"/>
            <w:vAlign w:val="center"/>
          </w:tcPr>
          <w:p w:rsidR="00502DBE" w:rsidRPr="00B412A6" w:rsidRDefault="00BA161B" w:rsidP="00BA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Функционалността на профила съответства на описанието в документацията.</w:t>
            </w:r>
          </w:p>
          <w:p w:rsidR="00BA161B" w:rsidRPr="00B412A6" w:rsidRDefault="00BA161B" w:rsidP="00BA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Зададените от тестови участник ограничения и лимити се изпълняват</w:t>
            </w:r>
            <w:r w:rsidR="0092462B">
              <w:rPr>
                <w:rFonts w:ascii="Times New Roman" w:hAnsi="Times New Roman" w:cs="Times New Roman"/>
                <w:sz w:val="24"/>
                <w:szCs w:val="24"/>
              </w:rPr>
              <w:t xml:space="preserve"> от системата</w:t>
            </w:r>
            <w:r w:rsidR="00E065A7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7758C6" w:rsidP="005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Географско локализиране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адреса, от който участникът се регистрира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чл. 2, ал. 2</w:t>
            </w:r>
            <w:r w:rsidR="004D39C0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1" w:type="dxa"/>
            <w:vAlign w:val="center"/>
          </w:tcPr>
          <w:p w:rsidR="007758C6" w:rsidRPr="00B412A6" w:rsidRDefault="00E106D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При възможност се и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звършва тестова регистрация на участници от различни 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адреси, включително 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адреси извън определения за Р</w:t>
            </w:r>
            <w:r w:rsidR="00D763DE" w:rsidRPr="00B41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58C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</w:t>
            </w:r>
          </w:p>
          <w:p w:rsidR="007758C6" w:rsidRPr="00B412A6" w:rsidRDefault="007758C6" w:rsidP="00D7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коректното записване на информация за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адреса, както и действието на ЦКС при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адрес извън определения за Р</w:t>
            </w:r>
            <w:r w:rsidR="00D763DE" w:rsidRPr="00B41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758C6" w:rsidRPr="00573DAF" w:rsidRDefault="007758C6" w:rsidP="0077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AF">
              <w:rPr>
                <w:rFonts w:ascii="Times New Roman" w:hAnsi="Times New Roman" w:cs="Times New Roman"/>
                <w:sz w:val="24"/>
                <w:szCs w:val="24"/>
              </w:rPr>
              <w:t xml:space="preserve">ЦКС извършва географско локализиране и коректно записване на </w:t>
            </w:r>
            <w:r w:rsidRPr="0057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7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адреса.</w:t>
            </w:r>
          </w:p>
          <w:p w:rsidR="007758C6" w:rsidRPr="00573DAF" w:rsidRDefault="007758C6" w:rsidP="00E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</w:t>
            </w: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извън определения за Р</w:t>
            </w:r>
            <w:r w:rsidR="00D763DE"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диапазон </w:t>
            </w:r>
            <w:r w:rsidR="00E106D6"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r w:rsidRPr="0057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ормация не се подава към НАП.</w:t>
            </w:r>
          </w:p>
        </w:tc>
      </w:tr>
      <w:tr w:rsidR="00B0489C" w:rsidRPr="00B412A6" w:rsidTr="00D37CEE">
        <w:tc>
          <w:tcPr>
            <w:tcW w:w="1084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7" w:type="dxa"/>
            <w:vAlign w:val="center"/>
          </w:tcPr>
          <w:p w:rsidR="007758C6" w:rsidRPr="00B412A6" w:rsidRDefault="007758C6" w:rsidP="00CF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Поддържане на регистър на участниците в игрите (чл. 5 и чл. 8, т. 2</w:t>
            </w:r>
            <w:r w:rsidR="00BD4FE4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9C61E7" w:rsidRPr="00B412A6" w:rsidRDefault="007758C6" w:rsidP="00A5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през административния интерфейс на ЦКС за </w:t>
            </w:r>
            <w:r w:rsidR="00592F2F" w:rsidRPr="00B412A6">
              <w:rPr>
                <w:rFonts w:ascii="Times New Roman" w:hAnsi="Times New Roman" w:cs="Times New Roman"/>
                <w:sz w:val="24"/>
                <w:szCs w:val="24"/>
              </w:rPr>
              <w:t>съдържанието на регистъра на участниците</w:t>
            </w:r>
            <w:r w:rsidR="009C61E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чл. 5, т.1, 2 </w:t>
            </w:r>
            <w:r w:rsidR="009C61E7"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3 от Наредбата</w:t>
            </w:r>
            <w:r w:rsidR="00243773" w:rsidRPr="00B412A6">
              <w:rPr>
                <w:rFonts w:ascii="Times New Roman" w:hAnsi="Times New Roman" w:cs="Times New Roman"/>
                <w:sz w:val="24"/>
                <w:szCs w:val="24"/>
              </w:rPr>
              <w:t>. Проверява се за: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12"/>
              </w:numPr>
              <w:ind w:left="231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от извършените тестови регистрации на участници, вкл. промените в регистрационните данни</w:t>
            </w:r>
          </w:p>
          <w:p w:rsidR="00A5622C" w:rsidRPr="00B412A6" w:rsidRDefault="00A5622C" w:rsidP="00243773">
            <w:p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Проверката се </w:t>
            </w:r>
            <w:r w:rsidR="00F7444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след изпълнение на т.</w:t>
            </w:r>
            <w:r w:rsidR="006437D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B6C24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31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444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от гл. т. съхранение на </w:t>
            </w:r>
            <w:r w:rsidR="00F7444B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F7444B" w:rsidRPr="00B412A6">
              <w:rPr>
                <w:rFonts w:ascii="Times New Roman" w:hAnsi="Times New Roman" w:cs="Times New Roman"/>
                <w:sz w:val="24"/>
                <w:szCs w:val="24"/>
              </w:rPr>
              <w:t>-адресите, от които е осъществен достъп за участие в игрите.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73" w:rsidRPr="00B412A6" w:rsidRDefault="00243773" w:rsidP="00DB6345">
            <w:pPr>
              <w:pStyle w:val="ListParagraph"/>
              <w:numPr>
                <w:ilvl w:val="0"/>
                <w:numId w:val="12"/>
              </w:numPr>
              <w:ind w:left="231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информация за подадени жалби и рекламации</w:t>
            </w:r>
          </w:p>
          <w:p w:rsidR="00243773" w:rsidRPr="00B412A6" w:rsidRDefault="00243773" w:rsidP="00DB6345">
            <w:pPr>
              <w:pStyle w:val="ListParagraph"/>
              <w:numPr>
                <w:ilvl w:val="0"/>
                <w:numId w:val="12"/>
              </w:numPr>
              <w:ind w:left="231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съхранени документи, изискани при идентификация или допълнителна верификация</w:t>
            </w:r>
          </w:p>
        </w:tc>
        <w:tc>
          <w:tcPr>
            <w:tcW w:w="3579" w:type="dxa"/>
            <w:vAlign w:val="center"/>
          </w:tcPr>
          <w:p w:rsidR="007758C6" w:rsidRPr="00B412A6" w:rsidRDefault="007758C6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регистър, съдържащ данните от регистрациите на тестовите участници: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Идентификационни данни;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Потребителско име;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адреси/номера на електронни съобщителни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от които е осъществяван достъп;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Постъпили рекламации и жалби.</w:t>
            </w:r>
          </w:p>
          <w:p w:rsidR="007758C6" w:rsidRPr="00B412A6" w:rsidRDefault="007758C6" w:rsidP="00DB634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Записани данни за променените регистрации</w:t>
            </w:r>
          </w:p>
          <w:p w:rsidR="00C21A16" w:rsidRPr="00B412A6" w:rsidRDefault="00C21A16" w:rsidP="00DB634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Допълнителни доказателства за идентификация</w:t>
            </w:r>
            <w:r w:rsidR="0092462B">
              <w:rPr>
                <w:rFonts w:ascii="Times New Roman" w:hAnsi="Times New Roman" w:cs="Times New Roman"/>
                <w:sz w:val="24"/>
                <w:szCs w:val="24"/>
              </w:rPr>
              <w:t>/верификация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участниците</w:t>
            </w:r>
            <w:r w:rsidR="00644F5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случаите по т. 2.2.5.</w:t>
            </w:r>
          </w:p>
        </w:tc>
      </w:tr>
      <w:tr w:rsidR="00B36DCD" w:rsidRPr="00B412A6" w:rsidTr="00D37CEE">
        <w:tc>
          <w:tcPr>
            <w:tcW w:w="1084" w:type="dxa"/>
            <w:vAlign w:val="center"/>
          </w:tcPr>
          <w:p w:rsidR="00B36DCD" w:rsidRPr="00B412A6" w:rsidRDefault="00B36DCD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87" w:type="dxa"/>
            <w:vAlign w:val="center"/>
          </w:tcPr>
          <w:p w:rsidR="00B36DCD" w:rsidRPr="00B412A6" w:rsidRDefault="00B36DCD" w:rsidP="00CF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Тестови залагания</w:t>
            </w:r>
          </w:p>
        </w:tc>
        <w:tc>
          <w:tcPr>
            <w:tcW w:w="2411" w:type="dxa"/>
            <w:vAlign w:val="center"/>
          </w:tcPr>
          <w:p w:rsidR="00B36DCD" w:rsidRPr="00B412A6" w:rsidRDefault="00B36DCD" w:rsidP="00BB6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Правят се тестови залагания от регистрираните тестови участници. Изпълнява се последователност от действия съгласно т.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01DD9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–3 </w:t>
            </w:r>
          </w:p>
        </w:tc>
        <w:tc>
          <w:tcPr>
            <w:tcW w:w="3579" w:type="dxa"/>
            <w:vAlign w:val="center"/>
          </w:tcPr>
          <w:p w:rsidR="00B36DCD" w:rsidRPr="00B412A6" w:rsidRDefault="00B36DCD" w:rsidP="007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D33" w:rsidRPr="00B412A6" w:rsidRDefault="00A03D33" w:rsidP="00A03D33">
      <w:pPr>
        <w:rPr>
          <w:sz w:val="24"/>
          <w:szCs w:val="24"/>
        </w:rPr>
      </w:pPr>
    </w:p>
    <w:p w:rsidR="00A87691" w:rsidRDefault="00A87691" w:rsidP="007D1985">
      <w:pPr>
        <w:spacing w:before="240" w:after="120"/>
        <w:rPr>
          <w:b/>
          <w:sz w:val="24"/>
          <w:szCs w:val="24"/>
        </w:rPr>
      </w:pPr>
    </w:p>
    <w:p w:rsidR="00A87691" w:rsidRDefault="00A87691" w:rsidP="007D1985">
      <w:pPr>
        <w:spacing w:before="240" w:after="120"/>
        <w:rPr>
          <w:b/>
          <w:sz w:val="24"/>
          <w:szCs w:val="24"/>
        </w:rPr>
      </w:pPr>
    </w:p>
    <w:p w:rsidR="00E11692" w:rsidRDefault="00E11692" w:rsidP="007D1985">
      <w:pPr>
        <w:spacing w:before="240" w:after="120"/>
        <w:rPr>
          <w:b/>
          <w:sz w:val="24"/>
          <w:szCs w:val="24"/>
        </w:rPr>
      </w:pPr>
    </w:p>
    <w:p w:rsidR="00E11692" w:rsidRDefault="00E11692" w:rsidP="007D1985">
      <w:pPr>
        <w:spacing w:before="240" w:after="120"/>
        <w:rPr>
          <w:b/>
          <w:sz w:val="24"/>
          <w:szCs w:val="24"/>
        </w:rPr>
      </w:pPr>
    </w:p>
    <w:p w:rsidR="00A03D33" w:rsidRPr="00B412A6" w:rsidRDefault="00F91204" w:rsidP="007D1985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lastRenderedPageBreak/>
        <w:t>I</w:t>
      </w:r>
      <w:r w:rsidR="007E36F4" w:rsidRPr="00B412A6">
        <w:rPr>
          <w:b/>
          <w:sz w:val="24"/>
          <w:szCs w:val="24"/>
        </w:rPr>
        <w:t>I</w:t>
      </w:r>
      <w:r w:rsidRPr="00B412A6">
        <w:rPr>
          <w:b/>
          <w:sz w:val="24"/>
          <w:szCs w:val="24"/>
        </w:rPr>
        <w:t xml:space="preserve">I. </w:t>
      </w:r>
      <w:r w:rsidR="00A03D33" w:rsidRPr="00B412A6">
        <w:rPr>
          <w:b/>
          <w:sz w:val="24"/>
          <w:szCs w:val="24"/>
        </w:rPr>
        <w:t>Автоматизирано подаване на информация към НАП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627"/>
        <w:gridCol w:w="2756"/>
        <w:gridCol w:w="2567"/>
      </w:tblGrid>
      <w:tr w:rsidR="00A03D33" w:rsidRPr="00B412A6" w:rsidTr="002C473E"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A03D33" w:rsidRPr="00B412A6" w:rsidTr="002372A3">
        <w:tc>
          <w:tcPr>
            <w:tcW w:w="770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vAlign w:val="center"/>
          </w:tcPr>
          <w:p w:rsidR="00A03D33" w:rsidRPr="00B412A6" w:rsidRDefault="00A03D33" w:rsidP="00A7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Подаване на регистрационни данни за ОХИ - съгласно </w:t>
            </w:r>
            <w:r w:rsidR="00764B74" w:rsidRPr="00B412A6">
              <w:rPr>
                <w:rFonts w:ascii="Times New Roman" w:hAnsi="Times New Roman" w:cs="Times New Roman"/>
                <w:sz w:val="24"/>
                <w:szCs w:val="24"/>
              </w:rPr>
              <w:t>чл. 8, т. 1,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№1 </w:t>
            </w:r>
            <w:r w:rsidR="00764B7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 чл. </w:t>
            </w:r>
            <w:r w:rsidR="00DE03B1" w:rsidRPr="00B412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4B7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  <w:tc>
          <w:tcPr>
            <w:tcW w:w="2756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ОХИ подава:</w:t>
            </w:r>
          </w:p>
          <w:p w:rsidR="00A03D33" w:rsidRPr="00B412A6" w:rsidRDefault="00A03D33" w:rsidP="00DB6345">
            <w:pPr>
              <w:pStyle w:val="ListParagraph"/>
              <w:numPr>
                <w:ilvl w:val="0"/>
                <w:numId w:val="5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регистрационни данни;</w:t>
            </w:r>
          </w:p>
          <w:p w:rsidR="00A03D33" w:rsidRPr="00B412A6" w:rsidRDefault="00A03D33" w:rsidP="00DB6345">
            <w:pPr>
              <w:pStyle w:val="ListParagraph"/>
              <w:numPr>
                <w:ilvl w:val="0"/>
                <w:numId w:val="5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промяна;</w:t>
            </w:r>
          </w:p>
          <w:p w:rsidR="00A03D33" w:rsidRPr="00B412A6" w:rsidRDefault="00A03D33" w:rsidP="00DB6345">
            <w:pPr>
              <w:pStyle w:val="ListParagraph"/>
              <w:numPr>
                <w:ilvl w:val="0"/>
                <w:numId w:val="5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прекратяване.</w:t>
            </w:r>
          </w:p>
          <w:p w:rsidR="00A03D33" w:rsidRPr="00B412A6" w:rsidRDefault="00A03D33" w:rsidP="009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постъпилата информация в тестовата среда на НАП и се сравнява с изпратените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-файлове, съхранени в ЦКС.</w:t>
            </w:r>
          </w:p>
        </w:tc>
        <w:tc>
          <w:tcPr>
            <w:tcW w:w="2567" w:type="dxa"/>
            <w:vAlign w:val="center"/>
          </w:tcPr>
          <w:p w:rsidR="00A03D33" w:rsidRPr="00B412A6" w:rsidRDefault="00A03D33" w:rsidP="009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на постъпилата в НАП информация със съхранената в ЦКС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със съдържанието на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файловете</w:t>
            </w:r>
            <w:r w:rsidR="00842D5F"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03D33" w:rsidRPr="00B412A6" w:rsidTr="002372A3">
        <w:tc>
          <w:tcPr>
            <w:tcW w:w="770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vAlign w:val="center"/>
          </w:tcPr>
          <w:p w:rsidR="00A03D33" w:rsidRPr="00B412A6" w:rsidRDefault="00A03D33" w:rsidP="005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Подаване на регистрационни данни за участниците в онлайн залагания – съгласно </w:t>
            </w:r>
            <w:r w:rsidR="00A76F71" w:rsidRPr="00B412A6">
              <w:rPr>
                <w:rFonts w:ascii="Times New Roman" w:hAnsi="Times New Roman" w:cs="Times New Roman"/>
                <w:sz w:val="24"/>
                <w:szCs w:val="24"/>
              </w:rPr>
              <w:t>чл. 8, т. 2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№2 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Непосредствено след успешно регистриране на участник по т.</w:t>
            </w:r>
            <w:r w:rsidR="00DE03B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6C24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31CE3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се проверяват постъпилите данни в тестовата среда на НАП.</w:t>
            </w:r>
          </w:p>
          <w:p w:rsidR="00A03D33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Данните се сравняват с попълнените данни за участника и със съдържанието на генерирания и изпратен в НАП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600E7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както и със съхранения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="00600E70" w:rsidRPr="00B412A6">
              <w:rPr>
                <w:rFonts w:ascii="Times New Roman" w:hAnsi="Times New Roman" w:cs="Times New Roman"/>
                <w:sz w:val="24"/>
                <w:szCs w:val="24"/>
              </w:rPr>
              <w:t>-файл в ЦКС</w:t>
            </w:r>
            <w:r w:rsidR="0092462B">
              <w:rPr>
                <w:rFonts w:ascii="Times New Roman" w:hAnsi="Times New Roman" w:cs="Times New Roman"/>
                <w:sz w:val="24"/>
                <w:szCs w:val="24"/>
              </w:rPr>
              <w:t xml:space="preserve"> (КЛС)</w:t>
            </w:r>
            <w:r w:rsidR="00600E70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951" w:rsidRPr="00584951" w:rsidRDefault="00584951" w:rsidP="00C31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наличието на подадените данни в Регистъра на участниците в ЦКС – вж.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6C24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567" w:type="dxa"/>
            <w:vAlign w:val="center"/>
          </w:tcPr>
          <w:p w:rsidR="00A03D33" w:rsidRPr="00584951" w:rsidRDefault="00A03D33" w:rsidP="0058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на постъпилата в НАП информация с п</w:t>
            </w:r>
            <w:r w:rsidR="00584951">
              <w:rPr>
                <w:rFonts w:ascii="Times New Roman" w:hAnsi="Times New Roman" w:cs="Times New Roman"/>
                <w:sz w:val="24"/>
                <w:szCs w:val="24"/>
              </w:rPr>
              <w:t xml:space="preserve">опълнените данни за участниците,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съдържанието на съхранения </w:t>
            </w:r>
            <w:r w:rsidR="000D5277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ЦКС</w:t>
            </w:r>
            <w:r w:rsidR="00D8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</w:t>
            </w:r>
            <w:r w:rsidR="00D81A99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r w:rsidR="0058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D5277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58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84951">
              <w:rPr>
                <w:rFonts w:ascii="Times New Roman" w:hAnsi="Times New Roman" w:cs="Times New Roman"/>
                <w:sz w:val="24"/>
                <w:szCs w:val="24"/>
              </w:rPr>
              <w:t>както и съхранената информация в Регистъра на участниците в ЦКС</w:t>
            </w:r>
            <w:r w:rsidR="0030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D33" w:rsidRPr="00B412A6" w:rsidTr="00764B74">
        <w:tc>
          <w:tcPr>
            <w:tcW w:w="770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7" w:type="dxa"/>
            <w:vAlign w:val="center"/>
          </w:tcPr>
          <w:p w:rsidR="00A03D33" w:rsidRPr="00B412A6" w:rsidRDefault="00A03D33" w:rsidP="00A7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Подаване на променени данни за участник в онлайн за</w:t>
            </w:r>
            <w:r w:rsidR="00764B74" w:rsidRPr="00B412A6">
              <w:rPr>
                <w:rFonts w:ascii="Times New Roman" w:hAnsi="Times New Roman" w:cs="Times New Roman"/>
                <w:sz w:val="24"/>
                <w:szCs w:val="24"/>
              </w:rPr>
              <w:t>лагания – съгласно чл. 8, т. 2</w:t>
            </w:r>
            <w:r w:rsidR="00267D43" w:rsidRPr="00B41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B7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B74"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5277" w:rsidRPr="00B412A6">
              <w:rPr>
                <w:rFonts w:ascii="Times New Roman" w:hAnsi="Times New Roman" w:cs="Times New Roman"/>
                <w:sz w:val="24"/>
                <w:szCs w:val="24"/>
              </w:rPr>
              <w:t>и чл. 14</w:t>
            </w:r>
            <w:r w:rsidR="00267D4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При извършване на промяна в регистрационните данни на участник по т.</w:t>
            </w:r>
            <w:r w:rsidR="00760A9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6C24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760A9C" w:rsidRPr="00B412A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D4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се проверяват постъпилите данни в тестовата среда на НАП.</w:t>
            </w:r>
          </w:p>
          <w:p w:rsidR="00A03D33" w:rsidRDefault="00A03D33" w:rsidP="000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Данните се сравняват с променените данни за участника и със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съдържанието на генерирания и изпратен в НАП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-файл</w:t>
            </w:r>
            <w:r w:rsidR="00760A9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E7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както и със </w:t>
            </w:r>
            <w:r w:rsidR="00760A9C" w:rsidRPr="00B412A6">
              <w:rPr>
                <w:rFonts w:ascii="Times New Roman" w:hAnsi="Times New Roman" w:cs="Times New Roman"/>
                <w:sz w:val="24"/>
                <w:szCs w:val="24"/>
              </w:rPr>
              <w:t>съхранен</w:t>
            </w:r>
            <w:r w:rsidR="00600E7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r w:rsidR="00600E70" w:rsidRPr="00B412A6">
              <w:rPr>
                <w:rFonts w:ascii="Times New Roman" w:hAnsi="Times New Roman" w:cs="Times New Roman"/>
                <w:sz w:val="24"/>
                <w:szCs w:val="24"/>
              </w:rPr>
              <w:t>-файл</w:t>
            </w:r>
            <w:r w:rsidR="00760A9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в ЦКС</w:t>
            </w:r>
            <w:r w:rsidR="003058A5">
              <w:rPr>
                <w:rFonts w:ascii="Times New Roman" w:hAnsi="Times New Roman" w:cs="Times New Roman"/>
                <w:sz w:val="24"/>
                <w:szCs w:val="24"/>
              </w:rPr>
              <w:t xml:space="preserve"> (КЛС)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8A5" w:rsidRPr="00B412A6" w:rsidRDefault="003058A5" w:rsidP="0030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наличието на променените данни в Регистъра на участниците в ЦКС – вж.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6C24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3D33" w:rsidRPr="00B412A6" w:rsidRDefault="003058A5" w:rsidP="0030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Съответствие на постъпилата в НАП информация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опълнените данни за участниците,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съдържанието на съхранения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ЦКС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XML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както и съхранената 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Регистъра на участниците в ЦКС.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7" w:type="dxa"/>
            <w:vAlign w:val="center"/>
          </w:tcPr>
          <w:p w:rsidR="00A03D33" w:rsidRPr="00B412A6" w:rsidRDefault="00A03D33" w:rsidP="00B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всяко приключило събитие – съгласно </w:t>
            </w:r>
            <w:r w:rsidR="00D754C9" w:rsidRPr="00B412A6">
              <w:rPr>
                <w:rFonts w:ascii="Times New Roman" w:hAnsi="Times New Roman" w:cs="Times New Roman"/>
                <w:sz w:val="24"/>
                <w:szCs w:val="24"/>
              </w:rPr>
              <w:t>чл. 8, т. 3</w:t>
            </w:r>
            <w:r w:rsidR="00D754C9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№3 </w:t>
            </w:r>
            <w:r w:rsidR="00D754C9"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A03D33" w:rsidRPr="00B412A6" w:rsidRDefault="00A03D33" w:rsidP="0030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r w:rsidR="003058A5">
              <w:rPr>
                <w:rFonts w:ascii="Times New Roman" w:hAnsi="Times New Roman" w:cs="Times New Roman"/>
                <w:sz w:val="24"/>
                <w:szCs w:val="24"/>
              </w:rPr>
              <w:t xml:space="preserve">т се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82" w:rsidRPr="00B412A6">
              <w:rPr>
                <w:rFonts w:ascii="Times New Roman" w:hAnsi="Times New Roman" w:cs="Times New Roman"/>
                <w:sz w:val="24"/>
                <w:szCs w:val="24"/>
              </w:rPr>
              <w:t>минимум 3 залагания от различни тестови участници във всеки вид хазартна игра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7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33" w:rsidRPr="00B412A6" w:rsidTr="000D5277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от действия</w:t>
            </w:r>
          </w:p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ОХИ депозира средства в игралн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сметки на регистрираните участници по т. </w:t>
            </w:r>
            <w:r w:rsidR="00431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6C24"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  <w:p w:rsidR="000B4D2B" w:rsidRPr="00B412A6" w:rsidRDefault="000B4D2B" w:rsidP="000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B34"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EF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D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чрез профилите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един или няколко </w:t>
            </w:r>
            <w:r w:rsidR="00690D7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тестови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  <w:r w:rsidR="00690D70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D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="00D754C9">
              <w:rPr>
                <w:rFonts w:ascii="Times New Roman" w:hAnsi="Times New Roman" w:cs="Times New Roman"/>
                <w:sz w:val="24"/>
                <w:szCs w:val="24"/>
              </w:rPr>
              <w:t xml:space="preserve">прави </w:t>
            </w:r>
            <w:r w:rsidR="00690D70" w:rsidRPr="00B412A6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D2B" w:rsidRPr="00B412A6" w:rsidRDefault="000B4D2B" w:rsidP="00C31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522EF1" w:rsidRPr="00B412A6" w:rsidRDefault="006A11D1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0B34"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чрез профилите на един или няколко тестови участници се </w:t>
            </w:r>
            <w:r w:rsidR="00690D70" w:rsidRPr="00B412A6">
              <w:rPr>
                <w:rFonts w:ascii="Times New Roman" w:hAnsi="Times New Roman" w:cs="Times New Roman"/>
                <w:sz w:val="24"/>
                <w:szCs w:val="24"/>
              </w:rPr>
              <w:t>осъществява</w:t>
            </w:r>
            <w:r w:rsidR="005744D4" w:rsidRPr="00B412A6">
              <w:rPr>
                <w:rFonts w:ascii="Times New Roman" w:hAnsi="Times New Roman" w:cs="Times New Roman"/>
                <w:sz w:val="24"/>
                <w:szCs w:val="24"/>
              </w:rPr>
              <w:t>т е</w:t>
            </w:r>
            <w:r w:rsidR="000B4D2B" w:rsidRPr="00B412A6">
              <w:rPr>
                <w:rFonts w:ascii="Times New Roman" w:hAnsi="Times New Roman" w:cs="Times New Roman"/>
                <w:sz w:val="24"/>
                <w:szCs w:val="24"/>
              </w:rPr>
              <w:t>дна или няколко игрални сесии на виртуални игрални автомати или игри на игрални маси в казино.</w:t>
            </w:r>
          </w:p>
          <w:p w:rsidR="00F630A0" w:rsidRPr="00B412A6" w:rsidRDefault="00A03D33" w:rsidP="00D7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Играта</w:t>
            </w:r>
            <w:r w:rsidR="005744D4" w:rsidRPr="00B412A6">
              <w:rPr>
                <w:rFonts w:ascii="Times New Roman" w:hAnsi="Times New Roman" w:cs="Times New Roman"/>
                <w:sz w:val="24"/>
                <w:szCs w:val="24"/>
              </w:rPr>
              <w:t>/игралните сесии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приключва</w:t>
            </w:r>
            <w:r w:rsidR="005744D4" w:rsidRPr="00B412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7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</w:t>
            </w:r>
          </w:p>
          <w:p w:rsidR="00A03D33" w:rsidRPr="00B412A6" w:rsidRDefault="00725A80" w:rsidP="002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След приключване на тестовите игри/сесии се  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верността на получената информация в т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естовата среда на НАП съгласно П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№3</w:t>
            </w:r>
            <w:r w:rsidR="002054E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Наредбата.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A03D33" w:rsidRPr="00B412A6" w:rsidRDefault="002054E9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Постъпили коректни данни в тестовата среда на НАП в допустимия времеви диапазон</w:t>
            </w:r>
            <w:r w:rsidR="00634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3AF" w:rsidRPr="006343AF">
              <w:rPr>
                <w:rFonts w:ascii="Times New Roman" w:hAnsi="Times New Roman" w:cs="Times New Roman"/>
                <w:sz w:val="24"/>
                <w:szCs w:val="24"/>
              </w:rPr>
              <w:t>срок до 30 минути след приключване на събитието)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1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A03D33" w:rsidRPr="00B412A6" w:rsidRDefault="00A03D33" w:rsidP="005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 xml:space="preserve">ъответствие с номенклатурата в 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Начало на събитието</w:t>
            </w:r>
          </w:p>
        </w:tc>
        <w:tc>
          <w:tcPr>
            <w:tcW w:w="2567" w:type="dxa"/>
            <w:vAlign w:val="center"/>
          </w:tcPr>
          <w:p w:rsidR="00A03D33" w:rsidRPr="00B412A6" w:rsidRDefault="00A03D33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</w:t>
            </w:r>
            <w:r w:rsidR="00654098" w:rsidRPr="00B412A6">
              <w:rPr>
                <w:rFonts w:ascii="Times New Roman" w:hAnsi="Times New Roman" w:cs="Times New Roman"/>
                <w:sz w:val="24"/>
                <w:szCs w:val="24"/>
              </w:rPr>
              <w:t>извършените тестове и</w:t>
            </w:r>
            <w:r w:rsidR="00EA294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Край на събитието</w:t>
            </w:r>
          </w:p>
        </w:tc>
        <w:tc>
          <w:tcPr>
            <w:tcW w:w="2567" w:type="dxa"/>
            <w:vAlign w:val="center"/>
          </w:tcPr>
          <w:p w:rsidR="00A03D33" w:rsidRPr="00B412A6" w:rsidRDefault="00654098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2567" w:type="dxa"/>
            <w:vAlign w:val="center"/>
          </w:tcPr>
          <w:p w:rsidR="00A03D33" w:rsidRPr="00B412A6" w:rsidRDefault="00654098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Сума на залозите</w:t>
            </w:r>
          </w:p>
        </w:tc>
        <w:tc>
          <w:tcPr>
            <w:tcW w:w="2567" w:type="dxa"/>
            <w:vAlign w:val="center"/>
          </w:tcPr>
          <w:p w:rsidR="00A03D33" w:rsidRPr="00B412A6" w:rsidRDefault="00654098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DE4E51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Събрани такси и комисиони за участие</w:t>
            </w:r>
          </w:p>
        </w:tc>
        <w:tc>
          <w:tcPr>
            <w:tcW w:w="2567" w:type="dxa"/>
            <w:vAlign w:val="center"/>
          </w:tcPr>
          <w:p w:rsidR="00A03D33" w:rsidRPr="00DE4E51" w:rsidRDefault="00654098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654098" w:rsidRPr="00B412A6" w:rsidTr="00D754C9">
        <w:tc>
          <w:tcPr>
            <w:tcW w:w="770" w:type="dxa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54098" w:rsidRPr="00DE4E51" w:rsidRDefault="00654098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Сума на печалбите</w:t>
            </w:r>
          </w:p>
        </w:tc>
        <w:tc>
          <w:tcPr>
            <w:tcW w:w="2567" w:type="dxa"/>
            <w:vAlign w:val="center"/>
          </w:tcPr>
          <w:p w:rsidR="00654098" w:rsidRPr="00DE4E51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6F226B" w:rsidRPr="00B412A6" w:rsidTr="00D754C9">
        <w:tc>
          <w:tcPr>
            <w:tcW w:w="770" w:type="dxa"/>
          </w:tcPr>
          <w:p w:rsidR="006F226B" w:rsidRPr="00B412A6" w:rsidRDefault="006F226B" w:rsidP="0065409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F226B" w:rsidRPr="00B412A6" w:rsidRDefault="006F226B" w:rsidP="006540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F226B" w:rsidRPr="00DE4E51" w:rsidRDefault="006F226B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Регистрационен </w:t>
            </w:r>
            <w:r w:rsidRPr="00D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</w:t>
            </w:r>
            <w:r w:rsidR="00DE4E51"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vAlign w:val="center"/>
          </w:tcPr>
          <w:p w:rsidR="006F226B" w:rsidRPr="00DE4E51" w:rsidRDefault="00BB797F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DE4E51" w:rsidRPr="00B412A6" w:rsidTr="00D754C9">
        <w:tc>
          <w:tcPr>
            <w:tcW w:w="770" w:type="dxa"/>
          </w:tcPr>
          <w:p w:rsidR="00DE4E51" w:rsidRPr="00B412A6" w:rsidRDefault="00DE4E51" w:rsidP="0065409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DE4E51" w:rsidRPr="00B412A6" w:rsidRDefault="00DE4E51" w:rsidP="006540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E4E51" w:rsidRPr="00DE4E51" w:rsidRDefault="00DE4E51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адрес на участник 1</w:t>
            </w:r>
          </w:p>
        </w:tc>
        <w:tc>
          <w:tcPr>
            <w:tcW w:w="2567" w:type="dxa"/>
            <w:vAlign w:val="center"/>
          </w:tcPr>
          <w:p w:rsidR="00DE4E51" w:rsidRPr="00DE4E51" w:rsidRDefault="00BB797F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654098" w:rsidRPr="00B412A6" w:rsidTr="00D754C9">
        <w:tc>
          <w:tcPr>
            <w:tcW w:w="770" w:type="dxa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54098" w:rsidRPr="00DE4E51" w:rsidRDefault="00654098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Залог на участник 1</w:t>
            </w:r>
          </w:p>
        </w:tc>
        <w:tc>
          <w:tcPr>
            <w:tcW w:w="2567" w:type="dxa"/>
            <w:vAlign w:val="center"/>
          </w:tcPr>
          <w:p w:rsidR="00654098" w:rsidRPr="00DE4E51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BB797F" w:rsidRPr="00B412A6" w:rsidTr="00D754C9">
        <w:tc>
          <w:tcPr>
            <w:tcW w:w="770" w:type="dxa"/>
          </w:tcPr>
          <w:p w:rsidR="00BB797F" w:rsidRPr="00B412A6" w:rsidRDefault="00BB797F" w:rsidP="0065409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97F" w:rsidRPr="00B412A6" w:rsidRDefault="00BB797F" w:rsidP="006540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BB797F" w:rsidRPr="00BB797F" w:rsidRDefault="00BB797F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7F">
              <w:rPr>
                <w:rFonts w:ascii="Times New Roman" w:hAnsi="Times New Roman" w:cs="Times New Roman"/>
                <w:sz w:val="24"/>
                <w:szCs w:val="24"/>
              </w:rPr>
              <w:t>Дата и час на залога на участник 1</w:t>
            </w:r>
          </w:p>
        </w:tc>
        <w:tc>
          <w:tcPr>
            <w:tcW w:w="2567" w:type="dxa"/>
            <w:vAlign w:val="center"/>
          </w:tcPr>
          <w:p w:rsidR="00BB797F" w:rsidRPr="00B412A6" w:rsidRDefault="00BB797F" w:rsidP="00654098">
            <w:pPr>
              <w:rPr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654098" w:rsidRPr="00B412A6" w:rsidTr="00D754C9">
        <w:tc>
          <w:tcPr>
            <w:tcW w:w="770" w:type="dxa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54098" w:rsidRPr="00B412A6" w:rsidRDefault="00654098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Печалба на участник 1</w:t>
            </w:r>
          </w:p>
        </w:tc>
        <w:tc>
          <w:tcPr>
            <w:tcW w:w="256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BB797F" w:rsidRPr="00B412A6" w:rsidTr="00D754C9">
        <w:tc>
          <w:tcPr>
            <w:tcW w:w="770" w:type="dxa"/>
          </w:tcPr>
          <w:p w:rsidR="00BB797F" w:rsidRPr="00B412A6" w:rsidRDefault="00BB797F" w:rsidP="0065409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B797F" w:rsidRPr="00B412A6" w:rsidRDefault="00BB797F" w:rsidP="006540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BB797F" w:rsidRPr="00B412A6" w:rsidRDefault="00BB797F" w:rsidP="00BB797F">
            <w:pPr>
              <w:pStyle w:val="ListParagraph"/>
              <w:ind w:left="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567" w:type="dxa"/>
            <w:vAlign w:val="center"/>
          </w:tcPr>
          <w:p w:rsidR="00BB797F" w:rsidRPr="00B412A6" w:rsidRDefault="00BB797F" w:rsidP="00654098">
            <w:pPr>
              <w:rPr>
                <w:sz w:val="24"/>
                <w:szCs w:val="24"/>
              </w:rPr>
            </w:pPr>
          </w:p>
        </w:tc>
      </w:tr>
      <w:tr w:rsidR="00654098" w:rsidRPr="00B412A6" w:rsidTr="00D754C9">
        <w:tc>
          <w:tcPr>
            <w:tcW w:w="770" w:type="dxa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54098" w:rsidRPr="00B412A6" w:rsidRDefault="00BB797F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Регистрационен </w:t>
            </w:r>
            <w:r w:rsidRPr="00D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098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6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654098" w:rsidRPr="00B412A6" w:rsidTr="00D754C9">
        <w:tc>
          <w:tcPr>
            <w:tcW w:w="770" w:type="dxa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54098" w:rsidRPr="00B412A6" w:rsidRDefault="008D3C67" w:rsidP="008D3C67">
            <w:pPr>
              <w:pStyle w:val="ListParagraph"/>
              <w:ind w:left="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56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B412A6" w:rsidTr="00D754C9">
        <w:tc>
          <w:tcPr>
            <w:tcW w:w="770" w:type="dxa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54098" w:rsidRPr="00B412A6" w:rsidRDefault="00654098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на генериране на файла (непосредствено след края на играта)</w:t>
            </w:r>
          </w:p>
        </w:tc>
        <w:tc>
          <w:tcPr>
            <w:tcW w:w="2567" w:type="dxa"/>
            <w:vAlign w:val="center"/>
          </w:tcPr>
          <w:p w:rsidR="00654098" w:rsidRPr="00B412A6" w:rsidRDefault="00654098" w:rsidP="006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на получаване на файла в НАП</w:t>
            </w:r>
          </w:p>
        </w:tc>
        <w:tc>
          <w:tcPr>
            <w:tcW w:w="2567" w:type="dxa"/>
            <w:vAlign w:val="center"/>
          </w:tcPr>
          <w:p w:rsidR="00A03D33" w:rsidRPr="00B412A6" w:rsidRDefault="00654098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ID на събитието </w:t>
            </w:r>
          </w:p>
        </w:tc>
        <w:tc>
          <w:tcPr>
            <w:tcW w:w="256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данните в ЦКС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vAlign w:val="center"/>
          </w:tcPr>
          <w:p w:rsidR="00A03D33" w:rsidRPr="00B412A6" w:rsidRDefault="00A03D33" w:rsidP="005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неприключилите</w:t>
            </w:r>
            <w:r w:rsidR="00501B13">
              <w:rPr>
                <w:rFonts w:ascii="Times New Roman" w:hAnsi="Times New Roman" w:cs="Times New Roman"/>
                <w:sz w:val="24"/>
                <w:szCs w:val="24"/>
              </w:rPr>
              <w:t xml:space="preserve"> 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събития към края на отчетния период – съгласно </w:t>
            </w:r>
            <w:r w:rsidR="00A76F71" w:rsidRPr="00B412A6">
              <w:rPr>
                <w:rFonts w:ascii="Times New Roman" w:hAnsi="Times New Roman" w:cs="Times New Roman"/>
                <w:sz w:val="24"/>
                <w:szCs w:val="24"/>
              </w:rPr>
              <w:t>чл. 8, т. 4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№4 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на действията:</w:t>
            </w:r>
          </w:p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Аналогично на т. 3</w:t>
            </w:r>
            <w:r w:rsidR="00EA461E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От ОХИ се изисква да симулира край на отчетния период преди края на игрите, за които са направени залози от тестовите участници</w:t>
            </w:r>
          </w:p>
        </w:tc>
        <w:tc>
          <w:tcPr>
            <w:tcW w:w="256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Проверки </w:t>
            </w:r>
          </w:p>
          <w:p w:rsidR="00A03D33" w:rsidRPr="00B412A6" w:rsidRDefault="00A03D33" w:rsidP="00565D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След симулирания край на отчетния период се проверява верността на получената информация в тестовата среда на НАП съгласно 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№4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67" w:type="dxa"/>
            <w:vAlign w:val="center"/>
          </w:tcPr>
          <w:p w:rsidR="00A03D33" w:rsidRPr="00B412A6" w:rsidRDefault="002054E9" w:rsidP="0063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Постъпили коректни данни в тестовата среда на НАП в допустимия времеви диапазон</w:t>
            </w:r>
            <w:r w:rsidR="00634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3AF" w:rsidRPr="006343AF">
              <w:rPr>
                <w:rFonts w:ascii="Times New Roman" w:hAnsi="Times New Roman" w:cs="Times New Roman"/>
                <w:sz w:val="24"/>
                <w:szCs w:val="24"/>
              </w:rPr>
              <w:t>срок до 30 минути)</w:t>
            </w:r>
          </w:p>
        </w:tc>
      </w:tr>
      <w:tr w:rsidR="00A03D33" w:rsidRPr="00B412A6" w:rsidTr="00D754C9">
        <w:tc>
          <w:tcPr>
            <w:tcW w:w="77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A03D33" w:rsidRPr="00B412A6" w:rsidRDefault="00A03D3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номенклатурата в 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1936B9" w:rsidRPr="00B412A6" w:rsidTr="00D754C9">
        <w:tc>
          <w:tcPr>
            <w:tcW w:w="770" w:type="dxa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1936B9" w:rsidRPr="00B412A6" w:rsidRDefault="001936B9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активните игри</w:t>
            </w:r>
          </w:p>
        </w:tc>
        <w:tc>
          <w:tcPr>
            <w:tcW w:w="2567" w:type="dxa"/>
            <w:vAlign w:val="center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1936B9" w:rsidRPr="00B412A6" w:rsidTr="00D754C9">
        <w:tc>
          <w:tcPr>
            <w:tcW w:w="770" w:type="dxa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1936B9" w:rsidRPr="00B412A6" w:rsidRDefault="001936B9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игра 1</w:t>
            </w:r>
          </w:p>
        </w:tc>
        <w:tc>
          <w:tcPr>
            <w:tcW w:w="2567" w:type="dxa"/>
            <w:vAlign w:val="center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1936B9" w:rsidRPr="00B412A6" w:rsidTr="00D754C9">
        <w:tc>
          <w:tcPr>
            <w:tcW w:w="770" w:type="dxa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1936B9" w:rsidRPr="00B412A6" w:rsidRDefault="001936B9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Начало на игра 1 </w:t>
            </w:r>
          </w:p>
        </w:tc>
        <w:tc>
          <w:tcPr>
            <w:tcW w:w="2567" w:type="dxa"/>
            <w:vAlign w:val="center"/>
          </w:tcPr>
          <w:p w:rsidR="001936B9" w:rsidRPr="00B412A6" w:rsidRDefault="001936B9" w:rsidP="0019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F810A7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0A7">
              <w:rPr>
                <w:rFonts w:ascii="Times New Roman" w:hAnsi="Times New Roman" w:cs="Times New Roman"/>
                <w:sz w:val="24"/>
                <w:szCs w:val="24"/>
              </w:rPr>
              <w:t>Дата (и час), към която се подава игра 1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Размер на залога в игра 1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събраните такси и комисиони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игра 1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участниците в игра 1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се аналогично за всички неприключили </w:t>
            </w:r>
            <w:r w:rsidR="006B0DE9">
              <w:rPr>
                <w:rFonts w:ascii="Times New Roman" w:hAnsi="Times New Roman" w:cs="Times New Roman"/>
                <w:sz w:val="24"/>
                <w:szCs w:val="24"/>
              </w:rPr>
              <w:t>(активни</w:t>
            </w:r>
            <w:r w:rsidR="006B0DE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игри от друг вид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vAlign w:val="center"/>
          </w:tcPr>
          <w:p w:rsidR="00F810A7" w:rsidRPr="00B412A6" w:rsidRDefault="00F810A7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 поискване – данни за неприключилите </w:t>
            </w:r>
            <w:r w:rsidR="006B0DE9">
              <w:rPr>
                <w:rFonts w:ascii="Times New Roman" w:hAnsi="Times New Roman" w:cs="Times New Roman"/>
                <w:sz w:val="24"/>
                <w:szCs w:val="24"/>
              </w:rPr>
              <w:t>(активни</w:t>
            </w:r>
            <w:r w:rsidR="006B0DE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събития към момента на поискване – съгласно </w:t>
            </w:r>
            <w:r w:rsidR="00EA0DA5" w:rsidRPr="00B412A6">
              <w:rPr>
                <w:rFonts w:ascii="Times New Roman" w:hAnsi="Times New Roman" w:cs="Times New Roman"/>
                <w:sz w:val="24"/>
                <w:szCs w:val="24"/>
              </w:rPr>
              <w:t>чл. 8, т. 5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674BD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7702EE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>Последователност на действията:</w:t>
            </w:r>
          </w:p>
          <w:p w:rsidR="007014C1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Преди края на игрите, за които са направени залози от тестовите участници, НАП подава съобщение към ЦКС на ОХИ от тестовата среда за предоставяне на информация за </w:t>
            </w:r>
            <w:r w:rsidR="005F1F3E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неприключилите </w:t>
            </w:r>
            <w:r w:rsidR="005F1F3E">
              <w:rPr>
                <w:rFonts w:ascii="Times New Roman" w:hAnsi="Times New Roman" w:cs="Times New Roman"/>
                <w:sz w:val="24"/>
                <w:szCs w:val="24"/>
              </w:rPr>
              <w:t>(активни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 игри към момента.</w:t>
            </w:r>
          </w:p>
          <w:p w:rsidR="00F810A7" w:rsidRPr="00B412A6" w:rsidRDefault="007014C1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Съобщението се насочва към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-адреса, посочен от ОХИ при първоначалната му регистрация 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02EE" w:rsidRPr="0077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>подаден</w:t>
            </w:r>
            <w:r w:rsidR="007702E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 xml:space="preserve"> 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-файл съгласно Приложение </w:t>
            </w:r>
            <w:r w:rsidR="00353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3534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аредбата</w:t>
            </w:r>
            <w:r w:rsidR="00F810A7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2EE" w:rsidRPr="007702EE">
              <w:rPr>
                <w:rFonts w:ascii="Times New Roman" w:hAnsi="Times New Roman" w:cs="Times New Roman"/>
                <w:i/>
                <w:sz w:val="24"/>
                <w:szCs w:val="24"/>
              </w:rPr>
              <w:t>URL на web услугата на организатора, предоставяща информация за текущите игри</w:t>
            </w:r>
            <w:r w:rsidR="007702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Проверки:</w:t>
            </w:r>
          </w:p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Проверките са аналогични на тези в т. 4: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Постъпили коректни данни в тестовата среда на НАП в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допустимия времеви диапазон</w:t>
            </w:r>
            <w:r w:rsidR="004466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6B5" w:rsidRPr="004466B5">
              <w:rPr>
                <w:rFonts w:ascii="Times New Roman" w:hAnsi="Times New Roman" w:cs="Times New Roman"/>
                <w:sz w:val="24"/>
                <w:szCs w:val="24"/>
              </w:rPr>
              <w:t>данните се подават към момента на получена заявка в ЦКС от сървър на НАП</w:t>
            </w:r>
            <w:r w:rsidR="004466B5">
              <w:rPr>
                <w:rFonts w:eastAsia="Times New Roman"/>
                <w:sz w:val="24"/>
                <w:szCs w:val="24"/>
                <w:shd w:val="clear" w:color="auto" w:fill="FEFEFE"/>
              </w:rPr>
              <w:t>).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номенклатурата в 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 w:rsidR="00EA0DA5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активните игри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игра 1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F810A7" w:rsidRPr="00B412A6" w:rsidTr="00D754C9">
        <w:tc>
          <w:tcPr>
            <w:tcW w:w="770" w:type="dxa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810A7" w:rsidRPr="00B412A6" w:rsidRDefault="00F810A7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Начало на игра 1 </w:t>
            </w:r>
          </w:p>
        </w:tc>
        <w:tc>
          <w:tcPr>
            <w:tcW w:w="2567" w:type="dxa"/>
            <w:vAlign w:val="center"/>
          </w:tcPr>
          <w:p w:rsidR="00F810A7" w:rsidRPr="00B412A6" w:rsidRDefault="00F810A7" w:rsidP="00F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F810A7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0A7">
              <w:rPr>
                <w:rFonts w:ascii="Times New Roman" w:hAnsi="Times New Roman" w:cs="Times New Roman"/>
                <w:sz w:val="24"/>
                <w:szCs w:val="24"/>
              </w:rPr>
              <w:t>Дата (и час), към която се подава игра 1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Размер на залога в игра 1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събраните такси и комисиони 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участниците в игра 1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</w:t>
            </w:r>
            <w:r w:rsidR="002149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за всички неприключили</w:t>
            </w:r>
            <w:r w:rsidR="00FD2445">
              <w:rPr>
                <w:rFonts w:ascii="Times New Roman" w:hAnsi="Times New Roman" w:cs="Times New Roman"/>
                <w:sz w:val="24"/>
                <w:szCs w:val="24"/>
              </w:rPr>
              <w:t xml:space="preserve"> (активни</w:t>
            </w:r>
            <w:r w:rsidR="00FD2445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игри от друг вид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7702EE" w:rsidRPr="00B412A6" w:rsidTr="00D754C9">
        <w:tc>
          <w:tcPr>
            <w:tcW w:w="770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ъхраняване в ЦКС на всички изпратени към сървъра на НАП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XML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съобщения в оригиналния им вид и получените от сървъра на НАП съобщения-потвърждения, както и информация за времето и статуса на осъществената комуникация със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сървъра на НАП (чл. 14)</w:t>
            </w:r>
          </w:p>
        </w:tc>
        <w:tc>
          <w:tcPr>
            <w:tcW w:w="2756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Проверка в ЦКС </w:t>
            </w:r>
            <w:r w:rsidR="00710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(КЛС)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наличие на съхранена информация за:</w:t>
            </w:r>
          </w:p>
        </w:tc>
        <w:tc>
          <w:tcPr>
            <w:tcW w:w="2567" w:type="dxa"/>
            <w:vAlign w:val="center"/>
          </w:tcPr>
          <w:p w:rsidR="007702EE" w:rsidRPr="00B412A6" w:rsidRDefault="007108F5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 се съобщенията да се съхраняват на КЛС вместо на ЦКС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Изпратени към сървъра на НАП XML-съобщения по т. 1, 2, 3, 4 и 5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  <w:r w:rsidR="007108F5">
              <w:rPr>
                <w:rFonts w:ascii="Times New Roman" w:hAnsi="Times New Roman" w:cs="Times New Roman"/>
                <w:sz w:val="24"/>
                <w:szCs w:val="24"/>
              </w:rPr>
              <w:t xml:space="preserve"> (КЛС)</w:t>
            </w:r>
          </w:p>
          <w:p w:rsidR="007702EE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  <w:p w:rsidR="007108F5" w:rsidRPr="00B412A6" w:rsidRDefault="007108F5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Получените от сървъра на НАП съобщения-потвърждения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  <w:r w:rsidR="007108F5">
              <w:rPr>
                <w:rFonts w:ascii="Times New Roman" w:hAnsi="Times New Roman" w:cs="Times New Roman"/>
                <w:sz w:val="24"/>
                <w:szCs w:val="24"/>
              </w:rPr>
              <w:t xml:space="preserve"> (КЛС)</w:t>
            </w:r>
          </w:p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</w:tc>
      </w:tr>
      <w:tr w:rsidR="007702EE" w:rsidRPr="00B412A6" w:rsidTr="00D754C9">
        <w:tc>
          <w:tcPr>
            <w:tcW w:w="770" w:type="dxa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7702EE" w:rsidRPr="00B412A6" w:rsidRDefault="007702EE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и статус на осъществената комуникация</w:t>
            </w:r>
          </w:p>
        </w:tc>
        <w:tc>
          <w:tcPr>
            <w:tcW w:w="2567" w:type="dxa"/>
            <w:vAlign w:val="center"/>
          </w:tcPr>
          <w:p w:rsidR="007702EE" w:rsidRPr="00B412A6" w:rsidRDefault="007702EE" w:rsidP="0077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изискваната информация.</w:t>
            </w:r>
          </w:p>
        </w:tc>
      </w:tr>
    </w:tbl>
    <w:p w:rsidR="00A03D33" w:rsidRPr="00B412A6" w:rsidRDefault="00F91204" w:rsidP="007D1985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>I</w:t>
      </w:r>
      <w:r w:rsidR="007E36F4" w:rsidRPr="00B412A6">
        <w:rPr>
          <w:b/>
          <w:sz w:val="24"/>
          <w:szCs w:val="24"/>
          <w:lang w:val="en-US"/>
        </w:rPr>
        <w:t>V</w:t>
      </w:r>
      <w:r w:rsidRPr="00B412A6">
        <w:rPr>
          <w:b/>
          <w:sz w:val="24"/>
          <w:szCs w:val="24"/>
        </w:rPr>
        <w:t xml:space="preserve">. </w:t>
      </w:r>
      <w:r w:rsidR="00A03D33" w:rsidRPr="00B412A6">
        <w:rPr>
          <w:b/>
          <w:sz w:val="24"/>
          <w:szCs w:val="24"/>
        </w:rPr>
        <w:t>Съхраняване на данните и дистанционен достъп до КЛС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717"/>
        <w:gridCol w:w="3295"/>
        <w:gridCol w:w="2329"/>
      </w:tblGrid>
      <w:tr w:rsidR="00A03D33" w:rsidRPr="00B412A6" w:rsidTr="00C31445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3298" w:type="dxa"/>
            <w:shd w:val="clear" w:color="auto" w:fill="F2F2F2" w:themeFill="background1" w:themeFillShade="F2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:rsidR="00A03D33" w:rsidRPr="00B412A6" w:rsidRDefault="00A03D33" w:rsidP="00C3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A03D33" w:rsidRPr="00B412A6" w:rsidTr="00C31445">
        <w:tc>
          <w:tcPr>
            <w:tcW w:w="988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03D33" w:rsidRPr="00B412A6" w:rsidRDefault="00A03D33" w:rsidP="0060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Съхраняване на всички данни, свързани с осъществяваната хазартна дейност, на оборудване на територията на Р</w:t>
            </w:r>
            <w:r w:rsidR="00606A5A" w:rsidRPr="00B41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(КЛС) – чл. 15, ал. 1</w:t>
            </w:r>
          </w:p>
        </w:tc>
        <w:tc>
          <w:tcPr>
            <w:tcW w:w="3298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Представяне на доказателства от ОХИ за разполагане на оборудване </w:t>
            </w:r>
            <w:r w:rsidR="0026476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съхранение на данни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/КЛС/ на територията на страната.</w:t>
            </w:r>
          </w:p>
        </w:tc>
        <w:tc>
          <w:tcPr>
            <w:tcW w:w="3365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Адресът, на който е разположено оборудването, е на територията на страната.</w:t>
            </w:r>
          </w:p>
        </w:tc>
      </w:tr>
      <w:tr w:rsidR="00A03D33" w:rsidRPr="00B412A6" w:rsidTr="00C31445">
        <w:tc>
          <w:tcPr>
            <w:tcW w:w="988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A03D33" w:rsidRPr="00B412A6" w:rsidRDefault="00A03D33" w:rsidP="0060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ЦКС, </w:t>
            </w:r>
            <w:r w:rsidR="00606A5A" w:rsidRPr="00B412A6">
              <w:rPr>
                <w:rFonts w:ascii="Times New Roman" w:hAnsi="Times New Roman" w:cs="Times New Roman"/>
                <w:sz w:val="24"/>
                <w:szCs w:val="24"/>
              </w:rPr>
              <w:t>намираща се на територията на РБ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 изпълняваща ролята на КЛС</w:t>
            </w:r>
            <w:r w:rsidR="000A219B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- чл. 15, ал. 1</w:t>
            </w:r>
          </w:p>
        </w:tc>
        <w:tc>
          <w:tcPr>
            <w:tcW w:w="3298" w:type="dxa"/>
          </w:tcPr>
          <w:p w:rsidR="00A03D33" w:rsidRPr="00B412A6" w:rsidRDefault="00A03D33" w:rsidP="002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Представяне на доказателства от ОХИ за разполагане на ЦКС</w:t>
            </w:r>
            <w:r w:rsidR="00264769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 територията на страната.</w:t>
            </w:r>
          </w:p>
        </w:tc>
        <w:tc>
          <w:tcPr>
            <w:tcW w:w="3365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Адресът, на който е разположено оборудването, е на територията на страната.</w:t>
            </w:r>
          </w:p>
        </w:tc>
      </w:tr>
      <w:tr w:rsidR="00A03D33" w:rsidRPr="00B412A6" w:rsidTr="00C31445">
        <w:tc>
          <w:tcPr>
            <w:tcW w:w="988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03D33" w:rsidRPr="00B412A6" w:rsidRDefault="00A03D33" w:rsidP="00C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C70BBD" w:rsidRPr="00B412A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, която</w:t>
            </w:r>
            <w:r w:rsidR="00C70BBD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се съхранява на КЛС, 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идентична със съхранената информация в ЦКС и подадената такава в НАП</w:t>
            </w:r>
            <w:r w:rsidR="00C70BBD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- чл. 15, ал. 2</w:t>
            </w:r>
          </w:p>
        </w:tc>
        <w:tc>
          <w:tcPr>
            <w:tcW w:w="3298" w:type="dxa"/>
          </w:tcPr>
          <w:p w:rsidR="00A03D33" w:rsidRDefault="00A03D33" w:rsidP="00C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Посред</w:t>
            </w:r>
            <w:r w:rsidR="00C70BBD" w:rsidRPr="00B412A6">
              <w:rPr>
                <w:rFonts w:ascii="Times New Roman" w:hAnsi="Times New Roman" w:cs="Times New Roman"/>
                <w:sz w:val="24"/>
                <w:szCs w:val="24"/>
              </w:rPr>
              <w:t>ством достъп до административните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 w:rsidR="00C70BBD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 (back-office) на ЦКС 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КЛС се проверява  наличието </w:t>
            </w:r>
            <w:r w:rsidR="00C70BBD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 тях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 следната информация: </w:t>
            </w:r>
          </w:p>
          <w:p w:rsidR="00E11692" w:rsidRPr="00B412A6" w:rsidRDefault="00E11692" w:rsidP="00E116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Направени залози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692" w:rsidRPr="00B412A6" w:rsidRDefault="00E11692" w:rsidP="00E116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Резултати от изиграването на залозите (печалба, загуба)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692" w:rsidRPr="00B412A6" w:rsidRDefault="00E11692" w:rsidP="00E116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Проведени игри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92" w:rsidRPr="00B412A6" w:rsidRDefault="00E11692" w:rsidP="00E116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Получени суми в брой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692" w:rsidRPr="00B412A6" w:rsidRDefault="00E11692" w:rsidP="00E116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Изплатени суми в брой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692" w:rsidRPr="00B412A6" w:rsidRDefault="00E11692" w:rsidP="00E116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Финансови преводи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692" w:rsidRPr="00B412A6" w:rsidRDefault="00E11692" w:rsidP="00E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Наличната информация се съпоставя с описанието в документацията и представените Общи правила 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692" w:rsidRPr="00B412A6" w:rsidRDefault="00E11692" w:rsidP="00C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33" w:rsidRPr="00B412A6" w:rsidTr="0021495C">
        <w:tc>
          <w:tcPr>
            <w:tcW w:w="988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Регистрационни данни на регистрираните тестови участници по т. </w:t>
            </w:r>
            <w:r w:rsidR="00BB3FD6" w:rsidRPr="00B412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14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2.5 и 2.5.1 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в КЛС. Данните са идентични на тези в ЦКС и подадените в НАП</w:t>
            </w:r>
          </w:p>
        </w:tc>
      </w:tr>
      <w:tr w:rsidR="00A03D33" w:rsidRPr="00B412A6" w:rsidTr="0021495C">
        <w:tc>
          <w:tcPr>
            <w:tcW w:w="988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игралните сесии на участниците съгласно т. </w:t>
            </w:r>
            <w:r w:rsidR="00BB3FD6" w:rsidRPr="00B412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B3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4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в КЛС. Данните са идентични на тези в ЦКС и подадените в НАП</w:t>
            </w:r>
          </w:p>
        </w:tc>
      </w:tr>
      <w:tr w:rsidR="00A03D33" w:rsidRPr="00B412A6" w:rsidTr="0021495C">
        <w:tc>
          <w:tcPr>
            <w:tcW w:w="988" w:type="dxa"/>
          </w:tcPr>
          <w:p w:rsidR="00A03D33" w:rsidRPr="00B412A6" w:rsidRDefault="00C70BBD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Направени залози от участниците съгласно т. </w:t>
            </w:r>
            <w:r w:rsidR="00BB3FD6" w:rsidRPr="00B412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14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 и  4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в КЛС. Данните са идентични на тези в ЦКС и подадените в НАП</w:t>
            </w:r>
          </w:p>
        </w:tc>
      </w:tr>
      <w:tr w:rsidR="00A03D33" w:rsidRPr="00B412A6" w:rsidTr="0021495C">
        <w:tc>
          <w:tcPr>
            <w:tcW w:w="988" w:type="dxa"/>
          </w:tcPr>
          <w:p w:rsidR="00A03D33" w:rsidRPr="00B412A6" w:rsidRDefault="00C70BBD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индивидуалните игрални сметки на участниците съгласно т</w:t>
            </w:r>
            <w:r w:rsidR="0065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DA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214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4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в КЛС. Данните са идентични на тези в ЦКС</w:t>
            </w:r>
          </w:p>
        </w:tc>
      </w:tr>
      <w:tr w:rsidR="00A03D33" w:rsidRPr="00B412A6" w:rsidTr="001C729D">
        <w:tc>
          <w:tcPr>
            <w:tcW w:w="988" w:type="dxa"/>
          </w:tcPr>
          <w:p w:rsidR="00A03D33" w:rsidRPr="00B412A6" w:rsidRDefault="00C70BBD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0" w:type="dxa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Финансови преводи от/към игралните сметки на участниците: </w:t>
            </w:r>
          </w:p>
          <w:p w:rsidR="00A03D33" w:rsidRPr="00B412A6" w:rsidRDefault="00A03D33" w:rsidP="00591B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Изпълнението на финансови преводи се извършва в тестова среда на ЦКС  </w:t>
            </w:r>
            <w:r w:rsidR="00DF104A" w:rsidRPr="00B412A6">
              <w:rPr>
                <w:rFonts w:ascii="Times New Roman" w:hAnsi="Times New Roman" w:cs="Times New Roman"/>
                <w:sz w:val="24"/>
                <w:szCs w:val="24"/>
              </w:rPr>
              <w:t>със съдействието на ОХИ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в КЛС. Данните са идентични на тези в ЦКС</w:t>
            </w:r>
          </w:p>
        </w:tc>
      </w:tr>
      <w:tr w:rsidR="00A03D33" w:rsidRPr="00B412A6" w:rsidTr="001C729D">
        <w:tc>
          <w:tcPr>
            <w:tcW w:w="988" w:type="dxa"/>
            <w:vAlign w:val="center"/>
          </w:tcPr>
          <w:p w:rsidR="00A03D33" w:rsidRPr="00B412A6" w:rsidRDefault="00C70BBD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A03D33" w:rsidRPr="00B412A6" w:rsidRDefault="00A03D3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Изплатени печалби (изплащането на печалба се извършва в тестовата среда</w:t>
            </w:r>
            <w:r w:rsidR="00DF104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 ЦКС със съдействието на ОХИ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данните в КЛС. Данните са идентични на тези в ЦКС</w:t>
            </w:r>
          </w:p>
        </w:tc>
      </w:tr>
      <w:tr w:rsidR="00A03D33" w:rsidRPr="00B412A6" w:rsidTr="00E9096F">
        <w:tc>
          <w:tcPr>
            <w:tcW w:w="98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A03D33" w:rsidRPr="00B412A6" w:rsidRDefault="00A03D33" w:rsidP="009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сигуряване на дистанционен достъп до данните на КЛС на контролните органи на НАП и ДАНС чрез приложение </w:t>
            </w:r>
            <w:r w:rsidR="00EA0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(приложен софтуер)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генериране на справки и експорт от базата данни във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формат </w:t>
            </w:r>
            <w:r w:rsidR="00983272"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XLSX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="00983272"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CSV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(чл. 15, ал. 3)</w:t>
            </w:r>
          </w:p>
        </w:tc>
        <w:tc>
          <w:tcPr>
            <w:tcW w:w="3298" w:type="dxa"/>
            <w:vAlign w:val="center"/>
          </w:tcPr>
          <w:p w:rsidR="00A03D33" w:rsidRPr="00B412A6" w:rsidRDefault="00DF104A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Изисква се предоставяне на 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>достъп до КЛС и приложението за достъп и експорт от БД.</w:t>
            </w:r>
          </w:p>
          <w:p w:rsidR="00C02419" w:rsidRPr="00B412A6" w:rsidRDefault="00731FB2" w:rsidP="0073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</w:t>
            </w:r>
            <w:r w:rsidR="00C02419" w:rsidRPr="00B41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FB2" w:rsidRPr="00B412A6" w:rsidRDefault="00731FB2" w:rsidP="00DB6345">
            <w:pPr>
              <w:pStyle w:val="ListParagraph"/>
              <w:numPr>
                <w:ilvl w:val="0"/>
                <w:numId w:val="13"/>
              </w:numPr>
              <w:ind w:left="1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дали през приложния софтуер на КЛС могат да се изведат справки в съответствие с примерните справки от Приложение №2 </w:t>
            </w:r>
            <w:r w:rsidR="00C02419"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419" w:rsidRPr="00B412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асоките към ОХИ. 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за справки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FB2" w:rsidRPr="00B412A6" w:rsidRDefault="00731FB2" w:rsidP="00DB6345">
            <w:pPr>
              <w:pStyle w:val="ListParagraph"/>
              <w:numPr>
                <w:ilvl w:val="0"/>
                <w:numId w:val="13"/>
              </w:numPr>
              <w:ind w:left="1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дали критериите за избор съотве</w:t>
            </w:r>
            <w:r w:rsidR="00C02419" w:rsidRPr="00B412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стват на посочените критерии в примерните справки</w:t>
            </w:r>
          </w:p>
          <w:p w:rsidR="00A03D33" w:rsidRPr="00B412A6" w:rsidRDefault="00731FB2" w:rsidP="00DB6345">
            <w:pPr>
              <w:pStyle w:val="ListParagraph"/>
              <w:numPr>
                <w:ilvl w:val="0"/>
                <w:numId w:val="13"/>
              </w:numPr>
              <w:ind w:left="1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дали извежданата в справките информация може да бъде експортирана </w:t>
            </w:r>
            <w:r w:rsidR="004076C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във формат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r w:rsidR="005067E4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83272"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CSV</w:t>
            </w:r>
            <w:r w:rsidR="005067E4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Осъществен достъп.</w:t>
            </w:r>
          </w:p>
          <w:p w:rsidR="00A03D33" w:rsidRPr="00B412A6" w:rsidRDefault="00DF104A" w:rsidP="0050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Генерирани справки и експорт</w:t>
            </w:r>
            <w:r w:rsidR="005067E4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данни в един от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посочените формати.</w:t>
            </w:r>
          </w:p>
          <w:p w:rsidR="00C02419" w:rsidRPr="00B412A6" w:rsidRDefault="00C02419" w:rsidP="0050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Изисква се извежданата информация в справките да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съответс</w:t>
            </w:r>
            <w:r w:rsidR="00447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ва като обхват на информацията, посочена в примерните справки </w:t>
            </w:r>
            <w:r w:rsidR="00850B8A">
              <w:rPr>
                <w:rFonts w:ascii="Times New Roman" w:hAnsi="Times New Roman" w:cs="Times New Roman"/>
                <w:sz w:val="24"/>
                <w:szCs w:val="24"/>
              </w:rPr>
              <w:t>в Приложение №2 от Н</w:t>
            </w:r>
            <w:r w:rsidR="0060260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асоките към ОХИ. </w:t>
            </w:r>
          </w:p>
        </w:tc>
      </w:tr>
      <w:tr w:rsidR="00A03D33" w:rsidRPr="00B412A6" w:rsidTr="00E9096F">
        <w:tc>
          <w:tcPr>
            <w:tcW w:w="98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10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Съхранява информация за точните дата, час и вид на извършените действия по т.3 (чл. 15, ал. 4)</w:t>
            </w:r>
          </w:p>
        </w:tc>
        <w:tc>
          <w:tcPr>
            <w:tcW w:w="329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 наличие на информация за дата и час на осъществения достъп, потребител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параметрите на генерираните/експортираните данни</w:t>
            </w:r>
          </w:p>
        </w:tc>
        <w:tc>
          <w:tcPr>
            <w:tcW w:w="3365" w:type="dxa"/>
            <w:vAlign w:val="center"/>
          </w:tcPr>
          <w:p w:rsidR="00A03D33" w:rsidRPr="00B412A6" w:rsidRDefault="00D2214A" w:rsidP="00C31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Данните са налични в 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КЛС</w:t>
            </w:r>
          </w:p>
        </w:tc>
      </w:tr>
      <w:tr w:rsidR="00A03D33" w:rsidRPr="00B412A6" w:rsidTr="00E9096F">
        <w:tc>
          <w:tcPr>
            <w:tcW w:w="98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A03D33" w:rsidRPr="00B412A6" w:rsidRDefault="00DD623C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Съхраняване на данните в </w:t>
            </w:r>
            <w:r w:rsidR="00A03D33" w:rsidRPr="00B412A6">
              <w:rPr>
                <w:rFonts w:ascii="Times New Roman" w:hAnsi="Times New Roman" w:cs="Times New Roman"/>
                <w:sz w:val="24"/>
                <w:szCs w:val="24"/>
              </w:rPr>
              <w:t>КЛС</w:t>
            </w:r>
          </w:p>
        </w:tc>
        <w:tc>
          <w:tcPr>
            <w:tcW w:w="329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33" w:rsidRPr="00B412A6" w:rsidTr="00E9096F">
        <w:tc>
          <w:tcPr>
            <w:tcW w:w="98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Данните трябва да бъдат отделени логически и безопасно от всякакви други данни</w:t>
            </w:r>
            <w:r w:rsidR="00E903C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(чл. 19, ал. 1)</w:t>
            </w:r>
          </w:p>
        </w:tc>
        <w:tc>
          <w:tcPr>
            <w:tcW w:w="3298" w:type="dxa"/>
            <w:vAlign w:val="center"/>
          </w:tcPr>
          <w:p w:rsidR="00A03D33" w:rsidRPr="00B412A6" w:rsidRDefault="004D3B82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Тества се при възможност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3D33" w:rsidRPr="00B412A6" w:rsidTr="00E9096F">
        <w:tc>
          <w:tcPr>
            <w:tcW w:w="988" w:type="dxa"/>
            <w:vAlign w:val="center"/>
          </w:tcPr>
          <w:p w:rsidR="00A03D33" w:rsidRPr="00B412A6" w:rsidRDefault="00A03D33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  <w:vAlign w:val="center"/>
          </w:tcPr>
          <w:p w:rsidR="00A03D33" w:rsidRPr="00B412A6" w:rsidRDefault="00A03D33" w:rsidP="00F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Създаване на огледално копие на всички данни, които да бъдат физически разделени и съхранени на отделни запаметяващи устройства, разположени на територията на Р</w:t>
            </w:r>
            <w:r w:rsidR="00FC21C3" w:rsidRPr="00B41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03C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(чл. 19, ал. 2)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center"/>
          </w:tcPr>
          <w:p w:rsidR="00A03D33" w:rsidRPr="00B412A6" w:rsidRDefault="004D3B82" w:rsidP="00C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Тества се при възможност</w:t>
            </w:r>
          </w:p>
        </w:tc>
        <w:tc>
          <w:tcPr>
            <w:tcW w:w="3365" w:type="dxa"/>
            <w:vAlign w:val="center"/>
          </w:tcPr>
          <w:p w:rsidR="00A03D33" w:rsidRPr="00B412A6" w:rsidRDefault="00A03D33" w:rsidP="00FC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D33" w:rsidRPr="00B412A6" w:rsidRDefault="00A03D33" w:rsidP="00A03D33">
      <w:pPr>
        <w:pStyle w:val="ListParagraph"/>
        <w:ind w:left="1080"/>
        <w:rPr>
          <w:sz w:val="24"/>
          <w:szCs w:val="24"/>
          <w:lang w:val="ru-RU"/>
        </w:rPr>
      </w:pPr>
    </w:p>
    <w:p w:rsidR="00D37CEE" w:rsidRPr="00570F28" w:rsidRDefault="00D37CEE" w:rsidP="001C777F">
      <w:pPr>
        <w:spacing w:before="240" w:after="120" w:line="360" w:lineRule="auto"/>
        <w:jc w:val="both"/>
        <w:rPr>
          <w:b/>
          <w:sz w:val="24"/>
          <w:szCs w:val="24"/>
          <w:highlight w:val="yellow"/>
        </w:rPr>
      </w:pPr>
      <w:r w:rsidRPr="001C777F">
        <w:rPr>
          <w:b/>
          <w:sz w:val="24"/>
          <w:szCs w:val="24"/>
          <w:u w:val="single"/>
        </w:rPr>
        <w:t>ЧАСТ ВТОРА</w:t>
      </w:r>
      <w:r w:rsidRPr="00DD4DCD">
        <w:rPr>
          <w:b/>
          <w:sz w:val="24"/>
          <w:szCs w:val="24"/>
        </w:rPr>
        <w:t xml:space="preserve">: ТЕСТВАНЕ НА </w:t>
      </w:r>
      <w:r w:rsidRPr="00570F28">
        <w:rPr>
          <w:b/>
          <w:sz w:val="24"/>
          <w:szCs w:val="24"/>
        </w:rPr>
        <w:t>СИСТЕМ</w:t>
      </w:r>
      <w:r>
        <w:rPr>
          <w:b/>
          <w:sz w:val="24"/>
          <w:szCs w:val="24"/>
        </w:rPr>
        <w:t xml:space="preserve">ИТЕ НА ОРГАНИЗАТОРИТЕ НА </w:t>
      </w:r>
      <w:r w:rsidRPr="00570F28">
        <w:rPr>
          <w:b/>
          <w:sz w:val="24"/>
          <w:szCs w:val="24"/>
        </w:rPr>
        <w:t xml:space="preserve"> </w:t>
      </w:r>
      <w:r w:rsidR="00AF4D1D">
        <w:rPr>
          <w:b/>
          <w:sz w:val="24"/>
          <w:szCs w:val="24"/>
        </w:rPr>
        <w:t xml:space="preserve">ОНЛАЙН </w:t>
      </w:r>
      <w:r w:rsidRPr="00570F28">
        <w:rPr>
          <w:b/>
          <w:sz w:val="24"/>
          <w:szCs w:val="24"/>
        </w:rPr>
        <w:t xml:space="preserve">ХАЗАРТНИ ИГРИ </w:t>
      </w:r>
      <w:r>
        <w:rPr>
          <w:b/>
          <w:sz w:val="24"/>
          <w:szCs w:val="24"/>
        </w:rPr>
        <w:t>ПРИ ПРОМЯНА ВЪВ ФУНКЦИОНАЛНОСТТА СЪГЛАСНО ЧЛ.22 ОТ НАРЕДБАТА</w:t>
      </w:r>
    </w:p>
    <w:p w:rsidR="00963AC4" w:rsidRPr="00B412A6" w:rsidRDefault="00963AC4" w:rsidP="00DB6345">
      <w:pPr>
        <w:pStyle w:val="ListParagraph"/>
        <w:numPr>
          <w:ilvl w:val="0"/>
          <w:numId w:val="11"/>
        </w:numPr>
        <w:spacing w:before="240" w:after="120"/>
        <w:ind w:left="426" w:hanging="426"/>
        <w:rPr>
          <w:b/>
          <w:sz w:val="24"/>
          <w:szCs w:val="24"/>
          <w:lang w:val="en-US"/>
        </w:rPr>
      </w:pPr>
      <w:r w:rsidRPr="00B412A6">
        <w:rPr>
          <w:b/>
          <w:sz w:val="24"/>
          <w:szCs w:val="24"/>
        </w:rPr>
        <w:t>Преглед на документация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2870"/>
        <w:gridCol w:w="2846"/>
        <w:gridCol w:w="2306"/>
      </w:tblGrid>
      <w:tr w:rsidR="00B3455E" w:rsidRPr="00B412A6" w:rsidTr="00DB6345"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63AC4" w:rsidRPr="00B412A6" w:rsidRDefault="00963AC4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963AC4" w:rsidRPr="00B412A6" w:rsidRDefault="00963AC4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846" w:type="dxa"/>
            <w:shd w:val="clear" w:color="auto" w:fill="D9D9D9" w:themeFill="background1" w:themeFillShade="D9"/>
            <w:vAlign w:val="center"/>
          </w:tcPr>
          <w:p w:rsidR="00963AC4" w:rsidRPr="00B412A6" w:rsidRDefault="00963AC4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Проверява се: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63AC4" w:rsidRPr="00B412A6" w:rsidRDefault="00963AC4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за изпълнение на изискването </w:t>
            </w:r>
          </w:p>
        </w:tc>
      </w:tr>
      <w:tr w:rsidR="00B3455E" w:rsidRPr="00B412A6" w:rsidTr="003F26A3">
        <w:tc>
          <w:tcPr>
            <w:tcW w:w="1039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Подадени документи съгласно чл. 20, ал. 2, 3 и 4 от Наредбата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документация,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представена в електронен вид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Налична документация</w:t>
            </w:r>
          </w:p>
        </w:tc>
      </w:tr>
      <w:tr w:rsidR="00B3455E" w:rsidRPr="00B412A6" w:rsidTr="003F26A3">
        <w:tc>
          <w:tcPr>
            <w:tcW w:w="1039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963AC4" w:rsidRPr="00B412A6" w:rsidRDefault="00761356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Общо </w:t>
            </w:r>
            <w:r w:rsidRPr="00761356">
              <w:rPr>
                <w:rFonts w:ascii="Times New Roman" w:hAnsi="Times New Roman" w:cs="Times New Roman"/>
                <w:sz w:val="24"/>
                <w:szCs w:val="24"/>
              </w:rPr>
              <w:t>описание на системата с посочване на функционалността на променените й компоненти.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963AC4" w:rsidRPr="00B412A6" w:rsidRDefault="00384B03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общо 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променената функционалност на системата (чл. 22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от Наредбата)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55E" w:rsidRPr="00B412A6" w:rsidTr="003F26A3">
        <w:tc>
          <w:tcPr>
            <w:tcW w:w="1039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963AC4" w:rsidRPr="00B412A6" w:rsidRDefault="000F2337" w:rsidP="009C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за ЦКС/КЛС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63AC4" w:rsidRPr="00B412A6" w:rsidRDefault="00963AC4" w:rsidP="009C4A02">
            <w:pPr>
              <w:pStyle w:val="ListParagraph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5E" w:rsidRPr="00B412A6" w:rsidTr="00DB6345">
        <w:tc>
          <w:tcPr>
            <w:tcW w:w="1039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870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Обща информация </w:t>
            </w:r>
          </w:p>
        </w:tc>
        <w:tc>
          <w:tcPr>
            <w:tcW w:w="2846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Проверява се: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 на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Протокол от тестване на ЦКС в лицензирана лаборатория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Местонахождение на ЦКС (физически адрес</w:t>
            </w:r>
            <w:r w:rsidR="00B67839" w:rsidRPr="00B67839">
              <w:rPr>
                <w:rFonts w:ascii="Times New Roman" w:hAnsi="Times New Roman" w:cs="Times New Roman"/>
                <w:sz w:val="24"/>
                <w:szCs w:val="24"/>
              </w:rPr>
              <w:t>/облачно пространство/хостваща компания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Друга релевантна информация за ЦКС (при необходимост)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Изискват се точно посочени: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 на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Протокол от тестване на ЦКС в лицензирана лаборатория – приложен (като минимум - № и дата, лаборатория-издател)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Посочен конкретен физически адрес на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55E" w:rsidRPr="00B412A6" w:rsidTr="00DB6345">
        <w:tc>
          <w:tcPr>
            <w:tcW w:w="1039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70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 w:rsidR="00BF3F0C">
              <w:rPr>
                <w:rFonts w:ascii="Times New Roman" w:hAnsi="Times New Roman" w:cs="Times New Roman"/>
                <w:sz w:val="24"/>
                <w:szCs w:val="24"/>
              </w:rPr>
              <w:t xml:space="preserve">промяната във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функциите на системата</w:t>
            </w:r>
          </w:p>
        </w:tc>
        <w:tc>
          <w:tcPr>
            <w:tcW w:w="2846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се: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Описанието </w:t>
            </w:r>
            <w:r w:rsidR="00DB6345">
              <w:rPr>
                <w:rFonts w:ascii="Times New Roman" w:hAnsi="Times New Roman" w:cs="Times New Roman"/>
                <w:sz w:val="24"/>
                <w:szCs w:val="24"/>
              </w:rPr>
              <w:t xml:space="preserve">на промяната във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функциите на системата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AC4" w:rsidRPr="00B412A6" w:rsidRDefault="00963AC4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Еднаквост на описанието в документацията с представените в НАП общи правила и условия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963AC4" w:rsidRPr="00B412A6" w:rsidRDefault="00963AC4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 конкретна информация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1806" w:rsidRPr="00B412A6" w:rsidRDefault="00F81806" w:rsidP="00A03D33">
      <w:pPr>
        <w:pStyle w:val="ListParagraph"/>
        <w:ind w:left="1080"/>
        <w:rPr>
          <w:sz w:val="24"/>
          <w:szCs w:val="24"/>
          <w:lang w:val="ru-RU"/>
        </w:rPr>
      </w:pPr>
    </w:p>
    <w:p w:rsidR="000F2337" w:rsidRPr="00B412A6" w:rsidRDefault="000F2337" w:rsidP="001A3526">
      <w:pPr>
        <w:tabs>
          <w:tab w:val="left" w:pos="709"/>
        </w:tabs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  <w:r w:rsidRPr="00B412A6">
        <w:rPr>
          <w:b/>
          <w:sz w:val="24"/>
          <w:szCs w:val="24"/>
          <w:lang w:val="en-US"/>
        </w:rPr>
        <w:t xml:space="preserve"> </w:t>
      </w:r>
      <w:r w:rsidR="00F86051" w:rsidRPr="00F86051">
        <w:rPr>
          <w:b/>
          <w:sz w:val="24"/>
          <w:szCs w:val="24"/>
          <w:lang w:val="en-US"/>
        </w:rPr>
        <w:t>Регистрация на</w:t>
      </w:r>
      <w:r w:rsidR="00751740">
        <w:rPr>
          <w:b/>
          <w:sz w:val="24"/>
          <w:szCs w:val="24"/>
        </w:rPr>
        <w:t xml:space="preserve"> тестови</w:t>
      </w:r>
      <w:r w:rsidR="00F86051" w:rsidRPr="00F86051">
        <w:rPr>
          <w:b/>
          <w:sz w:val="24"/>
          <w:szCs w:val="24"/>
          <w:lang w:val="en-US"/>
        </w:rPr>
        <w:t xml:space="preserve"> участниците в онлайн залагания. </w:t>
      </w:r>
      <w:r w:rsidR="00F86051">
        <w:rPr>
          <w:b/>
          <w:sz w:val="24"/>
          <w:szCs w:val="24"/>
        </w:rPr>
        <w:t>Тестови залагания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2728"/>
        <w:gridCol w:w="2580"/>
        <w:gridCol w:w="2849"/>
      </w:tblGrid>
      <w:tr w:rsidR="000F2337" w:rsidRPr="00B412A6" w:rsidTr="009C4A02"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F2337" w:rsidRPr="00B412A6" w:rsidRDefault="000F2337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0F2337" w:rsidRPr="00B412A6" w:rsidRDefault="000F2337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0F2337" w:rsidRPr="00B412A6" w:rsidRDefault="000F2337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0F2337" w:rsidRPr="00B412A6" w:rsidRDefault="000F2337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0F2337" w:rsidRPr="00B412A6" w:rsidTr="009C4A02">
        <w:tc>
          <w:tcPr>
            <w:tcW w:w="904" w:type="dxa"/>
            <w:shd w:val="clear" w:color="auto" w:fill="auto"/>
            <w:vAlign w:val="center"/>
          </w:tcPr>
          <w:p w:rsidR="000F2337" w:rsidRPr="00B412A6" w:rsidRDefault="000F2337" w:rsidP="009C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F2337" w:rsidRPr="00F86051" w:rsidRDefault="00F86051" w:rsidP="009C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тестови участници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F2337" w:rsidRPr="00B412A6" w:rsidRDefault="00637E0B" w:rsidP="000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ОХИ създава</w:t>
            </w:r>
            <w:r w:rsidR="000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A02">
              <w:rPr>
                <w:rFonts w:ascii="Times New Roman" w:hAnsi="Times New Roman" w:cs="Times New Roman"/>
                <w:sz w:val="24"/>
                <w:szCs w:val="24"/>
              </w:rPr>
              <w:t xml:space="preserve">игрални профили </w:t>
            </w:r>
            <w:r w:rsidR="00B746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777F">
              <w:rPr>
                <w:rFonts w:ascii="Times New Roman" w:hAnsi="Times New Roman" w:cs="Times New Roman"/>
                <w:sz w:val="24"/>
                <w:szCs w:val="24"/>
              </w:rPr>
              <w:t xml:space="preserve"> тестови </w:t>
            </w:r>
            <w:r w:rsidR="001C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участници на </w:t>
            </w:r>
            <w:r w:rsidR="001C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="0010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</w:t>
            </w:r>
            <w:r w:rsidR="00B746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36D16"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2337" w:rsidRPr="00AD50EB" w:rsidRDefault="00AD50EB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Подаден</w:t>
            </w:r>
            <w:r w:rsidR="005F7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към сървър на НАП </w:t>
            </w:r>
            <w:r w:rsidR="005F7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 - съобщения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съдържащ</w:t>
            </w:r>
            <w:r w:rsidR="005F7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данни за  регистрация на участник</w:t>
            </w:r>
            <w:r w:rsidR="005F7A0E">
              <w:rPr>
                <w:rFonts w:ascii="Times New Roman" w:hAnsi="Times New Roman" w:cs="Times New Roman"/>
                <w:sz w:val="24"/>
                <w:szCs w:val="24"/>
              </w:rPr>
              <w:t>/ци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Приложение №2 от Наредбата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C13" w:rsidRPr="00B412A6" w:rsidTr="006D4016">
        <w:tc>
          <w:tcPr>
            <w:tcW w:w="904" w:type="dxa"/>
          </w:tcPr>
          <w:p w:rsidR="00ED472D" w:rsidRDefault="00ED472D" w:rsidP="00E2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2D" w:rsidRDefault="00ED472D" w:rsidP="00E2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13" w:rsidRPr="00B412A6" w:rsidRDefault="00ED472D" w:rsidP="00E2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13"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295C13" w:rsidRPr="00B412A6" w:rsidRDefault="00295C13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Отказ за регистрация на участник, включен в списъка по чл. 10г от ЗХ </w:t>
            </w:r>
            <w:r w:rsidRPr="00ED4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чл. 2, ал.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ED4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295C13" w:rsidRPr="00B412A6" w:rsidRDefault="00295C13" w:rsidP="00E2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Проверката се извършва </w:t>
            </w:r>
            <w:r w:rsidR="00ED2BE0">
              <w:rPr>
                <w:rFonts w:ascii="Times New Roman" w:hAnsi="Times New Roman" w:cs="Times New Roman"/>
                <w:sz w:val="24"/>
                <w:szCs w:val="24"/>
              </w:rPr>
              <w:t xml:space="preserve">чрез тестване на </w:t>
            </w:r>
            <w:r w:rsidR="00ED2BE0" w:rsidRPr="00ED472D">
              <w:rPr>
                <w:rFonts w:ascii="Times New Roman" w:hAnsi="Times New Roman" w:cs="Times New Roman"/>
                <w:sz w:val="24"/>
                <w:szCs w:val="24"/>
              </w:rPr>
              <w:t>front- office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 xml:space="preserve"> на ЦКС.</w:t>
            </w:r>
            <w:r w:rsidR="00ED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295C13" w:rsidRPr="00B412A6" w:rsidRDefault="00295C13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 отказва регистрация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C13" w:rsidRPr="00B412A6" w:rsidTr="00F86051">
        <w:tc>
          <w:tcPr>
            <w:tcW w:w="904" w:type="dxa"/>
          </w:tcPr>
          <w:p w:rsidR="00ED472D" w:rsidRDefault="00ED472D" w:rsidP="00E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2D" w:rsidRDefault="00ED472D" w:rsidP="00E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13" w:rsidRPr="00ED472D" w:rsidRDefault="00ED472D" w:rsidP="00ED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295C13" w:rsidRPr="00ED472D" w:rsidRDefault="00295C13" w:rsidP="0059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EB">
              <w:rPr>
                <w:rFonts w:ascii="Times New Roman" w:hAnsi="Times New Roman" w:cs="Times New Roman"/>
                <w:sz w:val="24"/>
                <w:szCs w:val="24"/>
              </w:rPr>
              <w:t>Залагане от тестовите профили на създадените участници от ОХИ</w:t>
            </w:r>
          </w:p>
        </w:tc>
        <w:tc>
          <w:tcPr>
            <w:tcW w:w="2580" w:type="dxa"/>
          </w:tcPr>
          <w:p w:rsidR="00295C13" w:rsidRPr="00ED472D" w:rsidRDefault="00295C13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Игрални профили с възможност за поставяне на залози на различни видове хазартни игри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Приложение №9 от Наредбата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295C13" w:rsidRPr="00ED472D" w:rsidRDefault="00295C13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Подадени към сървър на НАП </w:t>
            </w:r>
            <w:r w:rsidR="005F7A0E">
              <w:rPr>
                <w:rFonts w:ascii="Times New Roman" w:hAnsi="Times New Roman" w:cs="Times New Roman"/>
                <w:sz w:val="24"/>
                <w:szCs w:val="24"/>
              </w:rPr>
              <w:t>XML- съобщения</w:t>
            </w:r>
            <w:r w:rsidRPr="00ED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съдържащ</w:t>
            </w:r>
            <w:r w:rsidR="005F7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данни за  направените залози с код на игра 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 от Наредбата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470D" w:rsidRDefault="00295C13" w:rsidP="00295C13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C7E81" w:rsidRPr="00B412A6" w:rsidRDefault="001A3526" w:rsidP="001A3526">
      <w:pPr>
        <w:tabs>
          <w:tab w:val="left" w:pos="709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7E81" w:rsidRPr="00B412A6">
        <w:rPr>
          <w:b/>
          <w:sz w:val="24"/>
          <w:szCs w:val="24"/>
        </w:rPr>
        <w:t>III. Автоматизирано подаване на информация към НАП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627"/>
        <w:gridCol w:w="2756"/>
        <w:gridCol w:w="2567"/>
      </w:tblGrid>
      <w:tr w:rsidR="009C7E81" w:rsidRPr="00B412A6" w:rsidTr="009C4A02"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9C7E81" w:rsidRPr="00B412A6" w:rsidTr="009C4A02">
        <w:tc>
          <w:tcPr>
            <w:tcW w:w="770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vAlign w:val="center"/>
          </w:tcPr>
          <w:p w:rsidR="009C7E81" w:rsidRPr="00B412A6" w:rsidRDefault="001A3526" w:rsidP="001A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 има подадена регистрация в продукционна (реална) среда на сървър на НАП</w:t>
            </w:r>
            <w:r w:rsidR="009C7E81" w:rsidRPr="00B412A6">
              <w:rPr>
                <w:rFonts w:ascii="Times New Roman" w:hAnsi="Times New Roman" w:cs="Times New Roman"/>
                <w:sz w:val="24"/>
                <w:szCs w:val="24"/>
              </w:rPr>
              <w:t>- съгласно чл. 8, т. 1, Приложение №1 и чл. 14 от Наредбата</w:t>
            </w: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на постъпилата в НАП информация със съхранената в ЦКС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със съдържанието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файловете.</w:t>
            </w:r>
          </w:p>
        </w:tc>
      </w:tr>
      <w:tr w:rsidR="009C7E81" w:rsidRPr="00B412A6" w:rsidTr="009C4A02">
        <w:tc>
          <w:tcPr>
            <w:tcW w:w="770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Подаване на регистрационни данни за участниците в онлайн залагания – съгласно чл. 8, 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9C7E81" w:rsidRPr="0058495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vAlign w:val="center"/>
          </w:tcPr>
          <w:p w:rsidR="009C7E81" w:rsidRPr="00584951" w:rsidRDefault="001A3526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Проверява се направените регистрации на тестови участници дали са постъпили в НАП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всяко приключило събитие – съгласно чл. 8, т.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минимум 3 залагания от различни тестови участници във всеки вид хазартна игра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от действия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ОХИ депозира средства в игралн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сметки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регистрираните участници по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86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А) чрез профилите на един или няколко тестови участници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залог 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Б) чрез профилите на един или няколко тестови участници се осъществяват една или няколко игрални сесии на виртуални игрални автомати или игри на игрални маси в казино.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Играта/игралните сесии приключват. </w:t>
            </w:r>
          </w:p>
        </w:tc>
        <w:tc>
          <w:tcPr>
            <w:tcW w:w="2567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</w:t>
            </w:r>
          </w:p>
          <w:p w:rsidR="009C7E81" w:rsidRPr="00B412A6" w:rsidRDefault="009C7E81" w:rsidP="006D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След приключване на тестовите игри/сесии се  проверява верността на получената информация </w:t>
            </w:r>
            <w:r w:rsidR="006D4016">
              <w:rPr>
                <w:rFonts w:ascii="Times New Roman" w:hAnsi="Times New Roman" w:cs="Times New Roman"/>
                <w:sz w:val="24"/>
                <w:szCs w:val="24"/>
              </w:rPr>
              <w:t xml:space="preserve">в средата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7A41">
              <w:rPr>
                <w:rFonts w:ascii="Times New Roman" w:hAnsi="Times New Roman" w:cs="Times New Roman"/>
                <w:sz w:val="24"/>
                <w:szCs w:val="24"/>
              </w:rPr>
              <w:t xml:space="preserve">сървър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 съгласно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№3 от Наредбата.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63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ъпили коректни данни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 xml:space="preserve"> сървър на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НАП в допустимия времеви диапазон</w:t>
            </w:r>
            <w:r w:rsidR="00634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4016" w:rsidRPr="006D4016">
              <w:rPr>
                <w:rFonts w:ascii="Times New Roman" w:hAnsi="Times New Roman" w:cs="Times New Roman"/>
                <w:sz w:val="24"/>
                <w:szCs w:val="24"/>
              </w:rPr>
              <w:t>срок до 30 минути след приключване на събитието</w:t>
            </w:r>
            <w:r w:rsidR="00634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1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ъответствие с номенклатурата в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Начало на събитието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Край на събитието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Сума на залозите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DE4E51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Събрани такси и комисиони за участие</w:t>
            </w:r>
          </w:p>
        </w:tc>
        <w:tc>
          <w:tcPr>
            <w:tcW w:w="2567" w:type="dxa"/>
            <w:vAlign w:val="center"/>
          </w:tcPr>
          <w:p w:rsidR="009C7E81" w:rsidRPr="00DE4E5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DE4E51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Сума на печалбите</w:t>
            </w:r>
          </w:p>
        </w:tc>
        <w:tc>
          <w:tcPr>
            <w:tcW w:w="2567" w:type="dxa"/>
            <w:vAlign w:val="center"/>
          </w:tcPr>
          <w:p w:rsidR="009C7E81" w:rsidRPr="00DE4E5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DE4E51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Регистрационен </w:t>
            </w:r>
            <w:r w:rsidRPr="00D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 1</w:t>
            </w:r>
          </w:p>
        </w:tc>
        <w:tc>
          <w:tcPr>
            <w:tcW w:w="2567" w:type="dxa"/>
            <w:vAlign w:val="center"/>
          </w:tcPr>
          <w:p w:rsidR="009C7E81" w:rsidRPr="00DE4E5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DE4E51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адрес на участник 1</w:t>
            </w:r>
          </w:p>
        </w:tc>
        <w:tc>
          <w:tcPr>
            <w:tcW w:w="2567" w:type="dxa"/>
            <w:vAlign w:val="center"/>
          </w:tcPr>
          <w:p w:rsidR="009C7E81" w:rsidRPr="00DE4E5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DE4E51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Залог на участник 1</w:t>
            </w:r>
          </w:p>
        </w:tc>
        <w:tc>
          <w:tcPr>
            <w:tcW w:w="2567" w:type="dxa"/>
            <w:vAlign w:val="center"/>
          </w:tcPr>
          <w:p w:rsidR="009C7E81" w:rsidRPr="00DE4E5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B797F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7F">
              <w:rPr>
                <w:rFonts w:ascii="Times New Roman" w:hAnsi="Times New Roman" w:cs="Times New Roman"/>
                <w:sz w:val="24"/>
                <w:szCs w:val="24"/>
              </w:rPr>
              <w:t>Дата и час на залога на участник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Печалба на участник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ind w:left="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Регистрационен </w:t>
            </w:r>
            <w:r w:rsidRPr="00D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E4E5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ind w:left="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на генериране на файла (непосредствено след края на играта)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на получаване на файла в НАП</w:t>
            </w:r>
            <w:r w:rsidR="006F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ID на събитието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неприключилите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 xml:space="preserve"> 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събития към края на отчетния период – съгласно чл. 8, т.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на действията: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Аналогично на т. 3.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От ОХИ се изисква да симулира край на отчетния период преди края на игрите, за които са направени залози от тестовите участници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Проверки </w:t>
            </w:r>
          </w:p>
          <w:p w:rsidR="009C7E81" w:rsidRPr="00B412A6" w:rsidRDefault="009C7E81" w:rsidP="001A35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 симулирания край на отчетния период се проверява верността на получената информация в среда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>та на сървър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 НАП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E3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Постъпили коректни данни в среда</w:t>
            </w:r>
            <w:r w:rsidR="007766E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 в </w:t>
            </w:r>
            <w:r w:rsidR="006F7A41" w:rsidRPr="006D4016">
              <w:rPr>
                <w:rFonts w:ascii="Times New Roman" w:hAnsi="Times New Roman" w:cs="Times New Roman"/>
                <w:sz w:val="24"/>
                <w:szCs w:val="24"/>
              </w:rPr>
              <w:t>срок до 30 минути</w:t>
            </w:r>
            <w:r w:rsidR="00E3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номенклатурата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активните игри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Начало на игра 1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F810A7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0A7">
              <w:rPr>
                <w:rFonts w:ascii="Times New Roman" w:hAnsi="Times New Roman" w:cs="Times New Roman"/>
                <w:sz w:val="24"/>
                <w:szCs w:val="24"/>
              </w:rPr>
              <w:t>Дата (и час), към която се подава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Размер на залога в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събраните такси и комисиони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участниците в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се аналогично за всички неприключили 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>(активни)</w:t>
            </w:r>
            <w:r w:rsidR="00CF6BF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игри от друг вид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 поискване – данни за неприключилите 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>(активни)</w:t>
            </w:r>
            <w:r w:rsidR="00CF6BF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събития към момента на поискване – съгласно чл. 8, т.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№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7702EE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>Последователност на действията:</w:t>
            </w:r>
          </w:p>
          <w:p w:rsidR="009C7E8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Преди края на игрите, за които са направени залози от тестовите участници, НАП подава съобщение към ЦКС на ОХИ от среда</w:t>
            </w:r>
            <w:r w:rsidR="00AA5EF7">
              <w:rPr>
                <w:rFonts w:ascii="Times New Roman" w:hAnsi="Times New Roman" w:cs="Times New Roman"/>
                <w:sz w:val="24"/>
                <w:szCs w:val="24"/>
              </w:rPr>
              <w:t>та на НАП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предоставяне на 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>информация за неприключилите 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игри към момента.</w:t>
            </w:r>
          </w:p>
          <w:p w:rsidR="009C7E81" w:rsidRPr="00B412A6" w:rsidRDefault="009C7E81" w:rsidP="00AA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Съобщението се насочва към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-адреса, </w:t>
            </w:r>
            <w:r w:rsidR="00AA5EF7">
              <w:rPr>
                <w:rFonts w:ascii="Times New Roman" w:hAnsi="Times New Roman" w:cs="Times New Roman"/>
                <w:sz w:val="24"/>
                <w:szCs w:val="24"/>
              </w:rPr>
              <w:t xml:space="preserve">посочен от ОХИ при подаване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AA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>подаден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702EE">
              <w:rPr>
                <w:rFonts w:ascii="Times New Roman" w:hAnsi="Times New Roman" w:cs="Times New Roman"/>
                <w:sz w:val="24"/>
                <w:szCs w:val="24"/>
              </w:rPr>
              <w:t xml:space="preserve"> 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-файл съгласно Приложение №1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02EE">
              <w:rPr>
                <w:rFonts w:ascii="Times New Roman" w:hAnsi="Times New Roman" w:cs="Times New Roman"/>
                <w:i/>
                <w:sz w:val="24"/>
                <w:szCs w:val="24"/>
              </w:rPr>
              <w:t>URL на web услугата на организатора, предоставяща информация за текущите игри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Проверки: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Проверките са аналогични на тези в т. 4: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4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Постъпили коректни данни в среда</w:t>
            </w:r>
            <w:r w:rsidR="00AA5EF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466B5">
              <w:rPr>
                <w:rFonts w:ascii="Times New Roman" w:hAnsi="Times New Roman" w:cs="Times New Roman"/>
                <w:sz w:val="24"/>
                <w:szCs w:val="24"/>
              </w:rPr>
              <w:t xml:space="preserve"> на НАП (</w:t>
            </w:r>
            <w:r w:rsidR="004466B5" w:rsidRPr="004466B5">
              <w:rPr>
                <w:rFonts w:ascii="Times New Roman" w:hAnsi="Times New Roman" w:cs="Times New Roman"/>
                <w:sz w:val="24"/>
                <w:szCs w:val="24"/>
              </w:rPr>
              <w:t>данните се подават към момента на получена заявка в ЦКС от сървър на НАП</w:t>
            </w:r>
            <w:r w:rsidR="004466B5">
              <w:rPr>
                <w:rFonts w:eastAsia="Times New Roman"/>
                <w:sz w:val="24"/>
                <w:szCs w:val="24"/>
                <w:shd w:val="clear" w:color="auto" w:fill="FEFEFE"/>
              </w:rPr>
              <w:t>)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номенклатурата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активните игри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Начало на игра 1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F810A7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0A7">
              <w:rPr>
                <w:rFonts w:ascii="Times New Roman" w:hAnsi="Times New Roman" w:cs="Times New Roman"/>
                <w:sz w:val="24"/>
                <w:szCs w:val="24"/>
              </w:rPr>
              <w:t>Дата (и час), към която се подава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Размер на залога в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събраните такси и комисиони 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участниците в игра 1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за всички неприключили 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>(активни)</w:t>
            </w:r>
            <w:r w:rsidR="00CF6BF8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игри от друг вид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E81" w:rsidRPr="00B412A6" w:rsidTr="009C4A02">
        <w:tc>
          <w:tcPr>
            <w:tcW w:w="770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ъхраняване в ЦКС на всички изпратени към сървъра на НАП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XML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съобщения в оригиналния им вид и получените от сървъра на НАП съобщения-потвърждения, както и информация за времето и статуса на осъществената комуникация със сървъра на НАП (чл. 14)</w:t>
            </w: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в ЦКС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(КЛС)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наличие на съхранена информация за: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 се съобщенията да се съхраняват на КЛС вместо на ЦКС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Изпратени към сървъра на НАП XML-съобщения по т. 1, 2, 3, 4 и 5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(КЛС)</w:t>
            </w:r>
          </w:p>
          <w:p w:rsidR="009C7E81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Получените от сървъра на НАП съобщения-потвърждения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(КЛС)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</w:tc>
      </w:tr>
      <w:tr w:rsidR="009C7E81" w:rsidRPr="00B412A6" w:rsidTr="009C4A02">
        <w:tc>
          <w:tcPr>
            <w:tcW w:w="770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C7E81" w:rsidRPr="00B412A6" w:rsidRDefault="009C7E81" w:rsidP="009C4A0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и статус на осъществената комуникация</w:t>
            </w:r>
            <w:r w:rsidR="0059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изискваната информация.</w:t>
            </w:r>
          </w:p>
        </w:tc>
      </w:tr>
    </w:tbl>
    <w:p w:rsidR="009C7E81" w:rsidRPr="00B412A6" w:rsidRDefault="009C7E81" w:rsidP="002C34FC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>I</w:t>
      </w:r>
      <w:r w:rsidRPr="00B412A6">
        <w:rPr>
          <w:b/>
          <w:sz w:val="24"/>
          <w:szCs w:val="24"/>
          <w:lang w:val="en-US"/>
        </w:rPr>
        <w:t>V</w:t>
      </w:r>
      <w:r w:rsidRPr="00B412A6">
        <w:rPr>
          <w:b/>
          <w:sz w:val="24"/>
          <w:szCs w:val="24"/>
        </w:rPr>
        <w:t>. Съхраняване на данните и дистанционен достъп до КЛС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355"/>
        <w:gridCol w:w="3294"/>
        <w:gridCol w:w="2761"/>
      </w:tblGrid>
      <w:tr w:rsidR="009C7E81" w:rsidRPr="00B412A6" w:rsidTr="0065493F">
        <w:tc>
          <w:tcPr>
            <w:tcW w:w="651" w:type="dxa"/>
            <w:shd w:val="clear" w:color="auto" w:fill="F2F2F2" w:themeFill="background1" w:themeFillShade="F2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9C7E81" w:rsidRPr="00B412A6" w:rsidRDefault="009C7E81" w:rsidP="009C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9C7E81" w:rsidRPr="00B412A6" w:rsidTr="0065493F">
        <w:tc>
          <w:tcPr>
            <w:tcW w:w="651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5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Съхраняване на всички данни, свързани с осъществяваната хазартна дейност, на оборудване на територията на РБ (КЛС) – чл. 15, ал. 1</w:t>
            </w:r>
          </w:p>
        </w:tc>
        <w:tc>
          <w:tcPr>
            <w:tcW w:w="3294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Представяне на доказателства от ОХИ за разполагане на оборудване за съхранение на данни /КЛС/ на територията на страната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>физически адре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>с /облачно пространство/хостинг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1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Адресът, на който е разположено оборудването, е на територията на страната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>физически адрес /облачно пространство/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 xml:space="preserve"> хостинг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E81" w:rsidRPr="00B412A6" w:rsidTr="0065493F">
        <w:tc>
          <w:tcPr>
            <w:tcW w:w="651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55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ЦКС, намираща се на територията на РБ и изпълняваща ролята на КЛС - чл. 15, ал. 1</w:t>
            </w:r>
          </w:p>
        </w:tc>
        <w:tc>
          <w:tcPr>
            <w:tcW w:w="3294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Представяне на доказателства от ОХИ за разполагане на ЦКС на територията на страната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>(физически адрес /облачно пространство/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 xml:space="preserve"> хостинг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Адресът, на който е разположено оборудванет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 xml:space="preserve">о, е на територията на страната 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>(физически адрес /облачно пространство/</w:t>
            </w:r>
            <w:r w:rsidR="00CF6BF8">
              <w:rPr>
                <w:rFonts w:ascii="Times New Roman" w:hAnsi="Times New Roman" w:cs="Times New Roman"/>
                <w:sz w:val="24"/>
                <w:szCs w:val="24"/>
              </w:rPr>
              <w:t xml:space="preserve"> хостинг</w:t>
            </w:r>
            <w:r w:rsidR="00904829" w:rsidRPr="009048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9C7E81" w:rsidRPr="00B412A6" w:rsidTr="0065493F">
        <w:tc>
          <w:tcPr>
            <w:tcW w:w="651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Информацията, която следва да се съхранява на КЛС, е идентична със съхранената информация в ЦКС и подадената такава в НАП - чл. 15, ал. 2</w:t>
            </w:r>
          </w:p>
        </w:tc>
        <w:tc>
          <w:tcPr>
            <w:tcW w:w="3294" w:type="dxa"/>
          </w:tcPr>
          <w:p w:rsidR="009C7E81" w:rsidRPr="00B412A6" w:rsidRDefault="009C7E81" w:rsidP="003E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достъп до административните интерфейси (back-office) на ЦКС и КЛС се проверява  наличието </w:t>
            </w:r>
            <w:r w:rsidR="003E107F">
              <w:rPr>
                <w:rFonts w:ascii="Times New Roman" w:hAnsi="Times New Roman" w:cs="Times New Roman"/>
                <w:sz w:val="24"/>
                <w:szCs w:val="24"/>
              </w:rPr>
              <w:t>съхранена информация.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65493F">
        <w:tc>
          <w:tcPr>
            <w:tcW w:w="651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сигуряване на дистанционен достъп до данните на КЛС на контролните органи на НАП и ДАНС чрез 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(приложен софтуер)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генериране на справки и експорт от базата данни във формат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XLSX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CSV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(чл. 15, ал. 3)</w:t>
            </w:r>
          </w:p>
        </w:tc>
        <w:tc>
          <w:tcPr>
            <w:tcW w:w="3294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Изисква се предоставяне на достъп до КЛС и приложението за достъп и експорт от БД.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се:</w:t>
            </w:r>
          </w:p>
          <w:p w:rsidR="009C7E81" w:rsidRPr="00B412A6" w:rsidRDefault="009C7E81" w:rsidP="009C4A02">
            <w:pPr>
              <w:pStyle w:val="ListParagraph"/>
              <w:numPr>
                <w:ilvl w:val="0"/>
                <w:numId w:val="13"/>
              </w:numPr>
              <w:ind w:left="1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дали през приложния софтуер на КЛС могат да се изведат справки в съответствие с примерните справки от Приложение №2 от Насоките към ОХИ.  критерии за справки.</w:t>
            </w:r>
          </w:p>
          <w:p w:rsidR="009C7E81" w:rsidRPr="00B412A6" w:rsidRDefault="009C7E81" w:rsidP="009C4A02">
            <w:pPr>
              <w:pStyle w:val="ListParagraph"/>
              <w:numPr>
                <w:ilvl w:val="0"/>
                <w:numId w:val="13"/>
              </w:numPr>
              <w:ind w:left="1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дали извежданата в справките информация може да бъде експортирана във формат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XLSX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CSV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Осъществен достъп.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Генерирани справки и експорт на данни в един от посочените формати.</w:t>
            </w:r>
          </w:p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81" w:rsidRPr="00B412A6" w:rsidTr="0065493F">
        <w:tc>
          <w:tcPr>
            <w:tcW w:w="651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5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Съхранява информация за точните дата, час и вид на извършените действия по т.3 (чл. 15, ал. 4)</w:t>
            </w:r>
          </w:p>
        </w:tc>
        <w:tc>
          <w:tcPr>
            <w:tcW w:w="3294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 наличие на информация за дата и час на осъществения достъп, потребител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параметрите на генерираните/експортираните данни</w:t>
            </w:r>
          </w:p>
        </w:tc>
        <w:tc>
          <w:tcPr>
            <w:tcW w:w="2761" w:type="dxa"/>
            <w:vAlign w:val="center"/>
          </w:tcPr>
          <w:p w:rsidR="009C7E81" w:rsidRPr="00B412A6" w:rsidRDefault="009C7E81" w:rsidP="009C4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Данните са налични в КЛС</w:t>
            </w:r>
          </w:p>
        </w:tc>
      </w:tr>
    </w:tbl>
    <w:p w:rsidR="00963AC4" w:rsidRDefault="00963AC4" w:rsidP="0065493F">
      <w:pPr>
        <w:spacing w:before="240" w:after="120"/>
        <w:rPr>
          <w:b/>
          <w:sz w:val="24"/>
          <w:szCs w:val="24"/>
        </w:rPr>
      </w:pPr>
    </w:p>
    <w:p w:rsidR="003E107F" w:rsidRDefault="003E107F" w:rsidP="002F6742">
      <w:pPr>
        <w:spacing w:before="240" w:after="120"/>
        <w:jc w:val="both"/>
        <w:rPr>
          <w:b/>
          <w:sz w:val="24"/>
          <w:szCs w:val="24"/>
          <w:u w:val="single"/>
        </w:rPr>
      </w:pPr>
    </w:p>
    <w:p w:rsidR="003E107F" w:rsidRDefault="003E107F" w:rsidP="002F6742">
      <w:pPr>
        <w:spacing w:before="240" w:after="120"/>
        <w:jc w:val="both"/>
        <w:rPr>
          <w:b/>
          <w:sz w:val="24"/>
          <w:szCs w:val="24"/>
          <w:u w:val="single"/>
        </w:rPr>
      </w:pPr>
    </w:p>
    <w:p w:rsidR="00F81806" w:rsidRPr="00B412A6" w:rsidRDefault="00D37CEE" w:rsidP="002F6742">
      <w:pPr>
        <w:spacing w:before="240" w:after="120"/>
        <w:jc w:val="both"/>
        <w:rPr>
          <w:b/>
          <w:sz w:val="24"/>
          <w:szCs w:val="24"/>
        </w:rPr>
      </w:pPr>
      <w:r w:rsidRPr="002F6742">
        <w:rPr>
          <w:b/>
          <w:sz w:val="24"/>
          <w:szCs w:val="24"/>
          <w:u w:val="single"/>
        </w:rPr>
        <w:t>ЧАСТ ТРЕТА</w:t>
      </w:r>
      <w:r w:rsidR="00F81806" w:rsidRPr="00B412A6">
        <w:rPr>
          <w:b/>
          <w:sz w:val="24"/>
          <w:szCs w:val="24"/>
        </w:rPr>
        <w:t xml:space="preserve">: ТЕСТВАНЕ НА СИСТЕМИТЕ НА ОРГАНИЗАТОРИТЕ НА НАЗЕМНИ ХАЗАРТНИ ИГРИ </w:t>
      </w:r>
    </w:p>
    <w:p w:rsidR="00F44845" w:rsidRPr="002F6742" w:rsidRDefault="002F6742" w:rsidP="002F6742">
      <w:pPr>
        <w:pStyle w:val="ListParagraph"/>
        <w:numPr>
          <w:ilvl w:val="0"/>
          <w:numId w:val="15"/>
        </w:numPr>
        <w:spacing w:before="240" w:after="120"/>
        <w:ind w:left="284" w:hanging="284"/>
        <w:rPr>
          <w:b/>
          <w:sz w:val="24"/>
          <w:szCs w:val="24"/>
          <w:lang w:val="en-US"/>
        </w:rPr>
      </w:pPr>
      <w:r w:rsidRPr="002F6742">
        <w:rPr>
          <w:b/>
          <w:sz w:val="24"/>
          <w:szCs w:val="24"/>
        </w:rPr>
        <w:t>Преглед на документация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08"/>
        <w:gridCol w:w="2446"/>
        <w:gridCol w:w="2378"/>
      </w:tblGrid>
      <w:tr w:rsidR="00F44845" w:rsidRPr="00B412A6" w:rsidTr="003D2A20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Проверява се: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за изпълнение на изискването </w:t>
            </w:r>
          </w:p>
        </w:tc>
      </w:tr>
      <w:tr w:rsidR="00D327A5" w:rsidRPr="00B412A6" w:rsidTr="003F26A3">
        <w:tc>
          <w:tcPr>
            <w:tcW w:w="1129" w:type="dxa"/>
            <w:shd w:val="clear" w:color="auto" w:fill="auto"/>
            <w:vAlign w:val="center"/>
          </w:tcPr>
          <w:p w:rsidR="00D327A5" w:rsidRPr="00B412A6" w:rsidRDefault="00D327A5" w:rsidP="00D3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327A5" w:rsidRPr="00B412A6" w:rsidRDefault="00D327A5" w:rsidP="00D3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Подадени документи съгласно чл. 20, ал. 2, 3 и 4 от Наредбата 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327A5" w:rsidRPr="00B412A6" w:rsidRDefault="00D327A5" w:rsidP="00D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документация, представена в електронен вид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327A5" w:rsidRPr="00B412A6" w:rsidRDefault="00D327A5" w:rsidP="00D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Налична документация</w:t>
            </w:r>
          </w:p>
        </w:tc>
      </w:tr>
      <w:tr w:rsidR="00D327A5" w:rsidRPr="00B412A6" w:rsidTr="003F26A3">
        <w:tc>
          <w:tcPr>
            <w:tcW w:w="1129" w:type="dxa"/>
            <w:shd w:val="clear" w:color="auto" w:fill="auto"/>
            <w:vAlign w:val="center"/>
          </w:tcPr>
          <w:p w:rsidR="00D327A5" w:rsidRPr="00B412A6" w:rsidRDefault="00D327A5" w:rsidP="00D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327A5" w:rsidRPr="00B412A6" w:rsidRDefault="00D327A5" w:rsidP="00D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Общо описание на системата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327A5" w:rsidRPr="00B412A6" w:rsidRDefault="00380BA8" w:rsidP="00D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общо описание на функционалността на системата (чл. 20, ал. 4 от Наредбата)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327A5" w:rsidRPr="00B412A6" w:rsidRDefault="00380BA8" w:rsidP="00D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Изисква се кратко общо описание на системата с посочване на функционалността на основните й компоненти</w:t>
            </w:r>
          </w:p>
        </w:tc>
      </w:tr>
      <w:tr w:rsidR="00380BA8" w:rsidRPr="00B412A6" w:rsidTr="003F26A3">
        <w:tc>
          <w:tcPr>
            <w:tcW w:w="1129" w:type="dxa"/>
            <w:shd w:val="clear" w:color="auto" w:fill="auto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за ЦКС 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80BA8" w:rsidRPr="00B412A6" w:rsidRDefault="00380BA8" w:rsidP="00380BA8">
            <w:pPr>
              <w:pStyle w:val="ListParagraph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A8" w:rsidRPr="00B412A6" w:rsidTr="00D327A5">
        <w:tc>
          <w:tcPr>
            <w:tcW w:w="1129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10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Обща информация </w:t>
            </w:r>
          </w:p>
        </w:tc>
        <w:tc>
          <w:tcPr>
            <w:tcW w:w="2446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Проверява се: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 на ЦКС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тестване на ЦКС в лицензирана лаборатория 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Местонахождение на ЦКС (физически адрес)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Друга релевантна информация за ЦКС (при необходимост)</w:t>
            </w:r>
          </w:p>
        </w:tc>
        <w:tc>
          <w:tcPr>
            <w:tcW w:w="237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Изискват се точно посочени: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Наименование и версия на ЦКС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Протокол от тестване на ЦКС в лицензирана лаборатория – приложен (като минимум - № и дата, лаборатория-издател)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Посочен конкретен физически адрес на ЦКС</w:t>
            </w:r>
          </w:p>
        </w:tc>
      </w:tr>
      <w:tr w:rsidR="00380BA8" w:rsidRPr="00B412A6" w:rsidTr="003D2A20">
        <w:tc>
          <w:tcPr>
            <w:tcW w:w="1129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10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Описание на функциите на системата</w:t>
            </w:r>
          </w:p>
        </w:tc>
        <w:tc>
          <w:tcPr>
            <w:tcW w:w="2446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Проверява се: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Описанието  функциите на системата 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7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Еднаквост на описанието в документацията с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представените в НАП общи правила и условия </w:t>
            </w:r>
          </w:p>
        </w:tc>
        <w:tc>
          <w:tcPr>
            <w:tcW w:w="237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ясна и конкретна информация</w:t>
            </w:r>
          </w:p>
        </w:tc>
      </w:tr>
      <w:tr w:rsidR="00380BA8" w:rsidRPr="00B412A6" w:rsidTr="003D2A20">
        <w:tc>
          <w:tcPr>
            <w:tcW w:w="1129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Процедури по поддръжка (чл. 20. ал. 4 от Наредбата)</w:t>
            </w:r>
          </w:p>
        </w:tc>
        <w:tc>
          <w:tcPr>
            <w:tcW w:w="2446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описанието на процедурите по поддръжка на системата </w:t>
            </w:r>
          </w:p>
        </w:tc>
        <w:tc>
          <w:tcPr>
            <w:tcW w:w="237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информация</w:t>
            </w:r>
          </w:p>
        </w:tc>
      </w:tr>
      <w:tr w:rsidR="00380BA8" w:rsidRPr="00B412A6" w:rsidTr="003D2A20">
        <w:tc>
          <w:tcPr>
            <w:tcW w:w="1129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10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Съобщения за грешки (чл. 20. ал. 4 от Наредбата)</w:t>
            </w:r>
          </w:p>
        </w:tc>
        <w:tc>
          <w:tcPr>
            <w:tcW w:w="2446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съобщенията за грешки </w:t>
            </w:r>
          </w:p>
        </w:tc>
        <w:tc>
          <w:tcPr>
            <w:tcW w:w="237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информация</w:t>
            </w:r>
          </w:p>
        </w:tc>
      </w:tr>
      <w:tr w:rsidR="00380BA8" w:rsidRPr="00B412A6" w:rsidTr="003D2A20">
        <w:tc>
          <w:tcPr>
            <w:tcW w:w="1129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свързана с изплащане на печалби </w:t>
            </w:r>
          </w:p>
        </w:tc>
        <w:tc>
          <w:tcPr>
            <w:tcW w:w="2446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относно съхраняването на информация за 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направените залози;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изплатените печалби; </w:t>
            </w:r>
          </w:p>
          <w:p w:rsidR="00380BA8" w:rsidRPr="00B412A6" w:rsidRDefault="00380BA8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лични данни на участници в залагания, вкл.  банкови сметки и др. (при изплащане на печалби в по-голям размер) </w:t>
            </w:r>
          </w:p>
        </w:tc>
        <w:tc>
          <w:tcPr>
            <w:tcW w:w="2378" w:type="dxa"/>
            <w:vAlign w:val="center"/>
          </w:tcPr>
          <w:p w:rsidR="00380BA8" w:rsidRPr="00B412A6" w:rsidRDefault="00380BA8" w:rsidP="0038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ясна и конкретна информация</w:t>
            </w:r>
          </w:p>
        </w:tc>
      </w:tr>
    </w:tbl>
    <w:p w:rsidR="00F44845" w:rsidRPr="00B412A6" w:rsidRDefault="00F44845" w:rsidP="007D1985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  <w:lang w:val="en-US"/>
        </w:rPr>
        <w:t>II</w:t>
      </w:r>
      <w:r w:rsidR="00565D50">
        <w:rPr>
          <w:b/>
          <w:sz w:val="24"/>
          <w:szCs w:val="24"/>
        </w:rPr>
        <w:t>.</w:t>
      </w:r>
      <w:r w:rsidRPr="00B412A6">
        <w:rPr>
          <w:b/>
          <w:sz w:val="24"/>
          <w:szCs w:val="24"/>
          <w:lang w:val="en-US"/>
        </w:rPr>
        <w:t xml:space="preserve"> </w:t>
      </w:r>
      <w:r w:rsidR="00D55FBD" w:rsidRPr="00B412A6">
        <w:rPr>
          <w:b/>
          <w:sz w:val="24"/>
          <w:szCs w:val="24"/>
        </w:rPr>
        <w:t xml:space="preserve">Тестови залагания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2728"/>
        <w:gridCol w:w="2580"/>
        <w:gridCol w:w="2849"/>
      </w:tblGrid>
      <w:tr w:rsidR="00F44845" w:rsidRPr="00B412A6" w:rsidTr="002C473E"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C93721" w:rsidRPr="00B412A6" w:rsidTr="008731A0">
        <w:tc>
          <w:tcPr>
            <w:tcW w:w="904" w:type="dxa"/>
            <w:shd w:val="clear" w:color="auto" w:fill="auto"/>
            <w:vAlign w:val="center"/>
          </w:tcPr>
          <w:p w:rsidR="00C93721" w:rsidRPr="00B412A6" w:rsidRDefault="001C4AC7" w:rsidP="00A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C93721" w:rsidRPr="00B412A6" w:rsidRDefault="001C4AC7" w:rsidP="00A1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Залагане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93721" w:rsidRPr="00B412A6" w:rsidRDefault="00C93721" w:rsidP="008F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 тестово оборудване се правят няколко залога – за</w:t>
            </w:r>
            <w:r w:rsidR="00BC2E1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резултати от спортни състезания или залагания върху случайни събития или свързани с познаване на факти – в зависимост от лиценза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93721" w:rsidRPr="00B412A6" w:rsidRDefault="008731A0" w:rsidP="001C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Издаде</w:t>
            </w:r>
            <w:r w:rsidR="001C4AC7" w:rsidRPr="00B412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удостоверителен знак</w:t>
            </w:r>
            <w:r w:rsidR="001C4AC7" w:rsidRPr="00B412A6">
              <w:rPr>
                <w:rFonts w:ascii="Times New Roman" w:hAnsi="Times New Roman" w:cs="Times New Roman"/>
                <w:sz w:val="24"/>
                <w:szCs w:val="24"/>
              </w:rPr>
              <w:t>/фиш, съдържащ вида,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C4AC7" w:rsidRPr="00B41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змера и условията на направения залог</w:t>
            </w:r>
          </w:p>
        </w:tc>
      </w:tr>
    </w:tbl>
    <w:p w:rsidR="00F44845" w:rsidRPr="00B412A6" w:rsidRDefault="00F44845" w:rsidP="00F44845">
      <w:pPr>
        <w:rPr>
          <w:sz w:val="24"/>
          <w:szCs w:val="24"/>
        </w:rPr>
      </w:pPr>
    </w:p>
    <w:p w:rsidR="00F44845" w:rsidRPr="00B412A6" w:rsidRDefault="00F44845" w:rsidP="007D1985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>III. Автоматизирано подаване на информация към НАП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627"/>
        <w:gridCol w:w="2756"/>
        <w:gridCol w:w="2567"/>
      </w:tblGrid>
      <w:tr w:rsidR="00F44845" w:rsidRPr="00B412A6" w:rsidTr="002C473E">
        <w:tc>
          <w:tcPr>
            <w:tcW w:w="770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F44845" w:rsidRPr="00B412A6" w:rsidTr="00251CA2">
        <w:tc>
          <w:tcPr>
            <w:tcW w:w="770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7" w:type="dxa"/>
            <w:vAlign w:val="center"/>
          </w:tcPr>
          <w:p w:rsidR="00F44845" w:rsidRPr="00B412A6" w:rsidRDefault="00F44845" w:rsidP="0085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Подаване на регистрационни данни за ОХИ - съгласно </w:t>
            </w:r>
            <w:r w:rsidR="00850B8A" w:rsidRPr="00B412A6">
              <w:rPr>
                <w:rFonts w:ascii="Times New Roman" w:hAnsi="Times New Roman" w:cs="Times New Roman"/>
                <w:sz w:val="24"/>
                <w:szCs w:val="24"/>
              </w:rPr>
              <w:t>чл. 9, т. 1</w:t>
            </w:r>
            <w:r w:rsidR="00850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0B8A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E74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 чл. 14</w:t>
            </w:r>
            <w:r w:rsidR="00850B8A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  <w:tc>
          <w:tcPr>
            <w:tcW w:w="2756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ОХИ подава:</w:t>
            </w:r>
          </w:p>
          <w:p w:rsidR="00F44845" w:rsidRPr="00B412A6" w:rsidRDefault="00F44845" w:rsidP="00DB6345">
            <w:pPr>
              <w:pStyle w:val="ListParagraph"/>
              <w:numPr>
                <w:ilvl w:val="0"/>
                <w:numId w:val="5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регистрационни данни;</w:t>
            </w:r>
          </w:p>
          <w:p w:rsidR="00F44845" w:rsidRPr="00B412A6" w:rsidRDefault="00F44845" w:rsidP="00DB6345">
            <w:pPr>
              <w:pStyle w:val="ListParagraph"/>
              <w:numPr>
                <w:ilvl w:val="0"/>
                <w:numId w:val="5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промяна;</w:t>
            </w:r>
          </w:p>
          <w:p w:rsidR="00F44845" w:rsidRPr="00B412A6" w:rsidRDefault="00F44845" w:rsidP="00DB6345">
            <w:pPr>
              <w:pStyle w:val="ListParagraph"/>
              <w:numPr>
                <w:ilvl w:val="0"/>
                <w:numId w:val="5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прекратяване.</w:t>
            </w:r>
          </w:p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Проверява се постъпилата информация в тестовата среда на НАП и се сравнява с изпратените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-файлове, съхранени в ЦКС.</w:t>
            </w:r>
          </w:p>
        </w:tc>
        <w:tc>
          <w:tcPr>
            <w:tcW w:w="2567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на постъпилата в НАП информация със съхранената в ЦКС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със съдържанието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файловете.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всяко приключило събитие – съгласно чл. 9, т. 2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№7 от Наредбата</w:t>
            </w: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Извършват се  минимум 3 залагания от различен вид във всеки вид хазартна игра: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от действия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ОХИ стартира определена/и игра/и , за които се правят няколко  тестови залога </w:t>
            </w:r>
          </w:p>
          <w:p w:rsidR="003F26A3" w:rsidRPr="00B412A6" w:rsidRDefault="003F26A3" w:rsidP="008F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</w:t>
            </w:r>
          </w:p>
          <w:p w:rsidR="003F26A3" w:rsidRPr="00B412A6" w:rsidRDefault="003F26A3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След приключване на тестовите игри се  проверява:</w:t>
            </w:r>
          </w:p>
          <w:p w:rsidR="003F26A3" w:rsidRPr="00B412A6" w:rsidRDefault="003F26A3" w:rsidP="00DB634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Записаната информация в ЦКС на организатора;</w:t>
            </w:r>
          </w:p>
          <w:p w:rsidR="003F26A3" w:rsidRPr="00B412A6" w:rsidRDefault="003F26A3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Верността на получената информация в тестовата среда на НАП 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номенклатурата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1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44850">
              <w:rPr>
                <w:rFonts w:ascii="Times New Roman" w:hAnsi="Times New Roman" w:cs="Times New Roman"/>
                <w:sz w:val="24"/>
                <w:szCs w:val="24"/>
              </w:rPr>
              <w:t xml:space="preserve"> на играта, генериран от ЦКС на организатора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244850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Начало на събитието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Край на събитието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на серийните номера на билети, фишове, талони или други удостоверителни знаци за участие (от № до №) – в случай че се използват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251CA2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2567" w:type="dxa"/>
            <w:vAlign w:val="center"/>
          </w:tcPr>
          <w:p w:rsidR="003F26A3" w:rsidRPr="00251CA2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Сума на залозите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Събрани такси и комисиони за участие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Сума на печалбите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на генериране на файла (непосредствено след края на играта)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на получаване на файла в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4016">
              <w:rPr>
                <w:rFonts w:ascii="Times New Roman" w:hAnsi="Times New Roman" w:cs="Times New Roman"/>
                <w:sz w:val="24"/>
                <w:szCs w:val="24"/>
              </w:rPr>
              <w:t>срок до 30 минути след приключване на събитието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ID на събитието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Данни за неприключилите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събития към края на отчетния период – съгласно чл. 9, т. 4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№4 от Наредбата</w:t>
            </w: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2"/>
              </w:numPr>
              <w:ind w:left="17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на действията: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Аналогично на т. 3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ОХИ се изисква да симулира край на отчетния период преди края на игрите, за които са направени залози от тестовите участници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Проверки 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След симулирания край на отчетния период се проверява верността на получената информация в тестовата среда на НАП 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Съответствие с номенклатурата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активните игри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игра 1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Начало на игра 1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Размер на залога в игра 1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събраните такси и комисиони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участниците в игра 1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се аналогично за всички неприключили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игри от друг вид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закупените/внесените удостоверителни знаци за участие съгласно чл. 9, т.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аредбата (ако такива ще бъдат използвани от организатора)</w:t>
            </w: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ОХИ се изисква подаване на примерни данни (в случай че се предвижда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закупуване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/внос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 използване на удостоверителни знаци (проверява се наличието на описание за това в документацията)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При поискване – данни за неприключилите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събития към момента на поискване – съгласно чл. 9, т.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Наредбата</w:t>
            </w: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D0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Последователност на действията:</w:t>
            </w:r>
          </w:p>
          <w:p w:rsidR="003F26A3" w:rsidRPr="00B412A6" w:rsidRDefault="003F26A3" w:rsidP="00D0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Преди края на игрите, за които са направени тестови залози, НАП подава съобщение към ЦКС на ОХИ от тестовата среда за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 на информация за неприключилите 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игри към момента.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1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Проверки: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Проверките са аналогични на тези в т. 3: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26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Вид на хазартната игра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ъответствие с номенклатурата в П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риложение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активните игри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Идентификатор на игра 1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46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Начало на игра 1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Размер на залога в игра 1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събраните такси и комисиони 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Брой на участниците в игра 1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 всички неприключили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(активни)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игри от друг вид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Съответствие с извършените тестове и данните в ЦКС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ъхраняване в ЦКС на всички изпратени към сървъра на НАП 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XML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съобщения в оригиналния им вид и получените от сървъра на НАП съобщения-потвърждения, както и информация за времето и статуса на осъществената комуникация със сървъра на НАП (чл.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Наредбата</w:t>
            </w:r>
            <w:r w:rsidRPr="00B41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 ЦКС за наличие на съхранена информация за: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Изпратени към сървъра на НАП XML-съобщения по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1C7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Получените от сървъра на НАП съобщения-потвърждения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Време и статус на осъществената комуникация</w:t>
            </w: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съобщенията в ЦКС</w:t>
            </w:r>
          </w:p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 осигурен достъп до тях.</w:t>
            </w: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3" w:rsidRPr="00B412A6" w:rsidTr="00251CA2">
        <w:tc>
          <w:tcPr>
            <w:tcW w:w="770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F26A3" w:rsidRPr="00B412A6" w:rsidRDefault="003F26A3" w:rsidP="00DB63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3F26A3" w:rsidRPr="00B412A6" w:rsidRDefault="003F26A3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5" w:rsidRPr="00B412A6" w:rsidRDefault="00F44845" w:rsidP="007D1985">
      <w:pPr>
        <w:spacing w:before="240" w:after="120"/>
        <w:rPr>
          <w:b/>
          <w:sz w:val="24"/>
          <w:szCs w:val="24"/>
        </w:rPr>
      </w:pPr>
      <w:r w:rsidRPr="00B412A6">
        <w:rPr>
          <w:b/>
          <w:sz w:val="24"/>
          <w:szCs w:val="24"/>
        </w:rPr>
        <w:t>I</w:t>
      </w:r>
      <w:r w:rsidRPr="00B412A6">
        <w:rPr>
          <w:b/>
          <w:sz w:val="24"/>
          <w:szCs w:val="24"/>
          <w:lang w:val="en-US"/>
        </w:rPr>
        <w:t>V</w:t>
      </w:r>
      <w:r w:rsidRPr="00B412A6">
        <w:rPr>
          <w:b/>
          <w:sz w:val="24"/>
          <w:szCs w:val="24"/>
        </w:rPr>
        <w:t xml:space="preserve">. Съхраняване на данните </w:t>
      </w:r>
      <w:r w:rsidR="00047E5E" w:rsidRPr="00B412A6">
        <w:rPr>
          <w:b/>
          <w:sz w:val="24"/>
          <w:szCs w:val="24"/>
        </w:rPr>
        <w:t xml:space="preserve">ЦКС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459"/>
        <w:gridCol w:w="3294"/>
        <w:gridCol w:w="2636"/>
      </w:tblGrid>
      <w:tr w:rsidR="00F44845" w:rsidRPr="00B412A6" w:rsidTr="002C473E">
        <w:tc>
          <w:tcPr>
            <w:tcW w:w="672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проверка/тестване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F44845" w:rsidRPr="00B412A6" w:rsidRDefault="00F44845" w:rsidP="00A1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изпълнение на изискването</w:t>
            </w:r>
          </w:p>
        </w:tc>
      </w:tr>
      <w:tr w:rsidR="00F44845" w:rsidRPr="00B412A6" w:rsidTr="00525E4E">
        <w:tc>
          <w:tcPr>
            <w:tcW w:w="672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Съхраняване на всички данни, свързани с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осъществяваната хазартна дейност, на оборудване на територията на РБ</w:t>
            </w:r>
            <w:r w:rsidR="007C3B4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:rsidR="00F44845" w:rsidRPr="00B412A6" w:rsidRDefault="00F44845" w:rsidP="00D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Представяне на доказателства от ОХИ за разполагане на </w:t>
            </w:r>
            <w:r w:rsidR="007C3B41" w:rsidRPr="00B412A6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="00D8467C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7C3B41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оборудване за съхранение на данни на територията на страната.</w:t>
            </w:r>
          </w:p>
        </w:tc>
        <w:tc>
          <w:tcPr>
            <w:tcW w:w="2636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Адресът, на който е разположено оборудването, е на 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територията на страната.</w:t>
            </w:r>
          </w:p>
        </w:tc>
      </w:tr>
      <w:tr w:rsidR="00F44845" w:rsidRPr="00B412A6" w:rsidTr="00525E4E">
        <w:tc>
          <w:tcPr>
            <w:tcW w:w="672" w:type="dxa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="00F44845" w:rsidRPr="00B412A6" w:rsidRDefault="00F44845" w:rsidP="009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която  се съхранява </w:t>
            </w:r>
            <w:r w:rsidR="00D8467C" w:rsidRPr="00B412A6">
              <w:rPr>
                <w:rFonts w:ascii="Times New Roman" w:hAnsi="Times New Roman" w:cs="Times New Roman"/>
                <w:sz w:val="24"/>
                <w:szCs w:val="24"/>
              </w:rPr>
              <w:t>в ЦКС</w:t>
            </w:r>
          </w:p>
        </w:tc>
        <w:tc>
          <w:tcPr>
            <w:tcW w:w="3294" w:type="dxa"/>
            <w:shd w:val="clear" w:color="auto" w:fill="FFFFFF" w:themeFill="background1"/>
            <w:vAlign w:val="center"/>
          </w:tcPr>
          <w:p w:rsidR="00F44845" w:rsidRPr="00B412A6" w:rsidRDefault="00F448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достъп до административните интерфейси (back-office) на ЦКС и КЛС се проверява  наличието в тях на следната информация: </w:t>
            </w:r>
          </w:p>
          <w:p w:rsidR="00553AA6" w:rsidRPr="00B412A6" w:rsidRDefault="00982939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Направени залози</w:t>
            </w:r>
          </w:p>
          <w:p w:rsidR="00982939" w:rsidRPr="00B412A6" w:rsidRDefault="00982939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955879" w:rsidRPr="00B41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от изиграването на залозите (печалба, загуба)</w:t>
            </w:r>
          </w:p>
          <w:p w:rsidR="00553AA6" w:rsidRPr="00B412A6" w:rsidRDefault="00982939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Проведени игри</w:t>
            </w:r>
            <w:r w:rsidR="00553AA6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645" w:rsidRPr="00B412A6" w:rsidRDefault="00955879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6A6645" w:rsidRPr="00B412A6">
              <w:rPr>
                <w:rFonts w:ascii="Times New Roman" w:hAnsi="Times New Roman" w:cs="Times New Roman"/>
                <w:sz w:val="24"/>
                <w:szCs w:val="24"/>
              </w:rPr>
              <w:t xml:space="preserve">ени суми в брой </w:t>
            </w:r>
          </w:p>
          <w:p w:rsidR="006A6645" w:rsidRPr="00B412A6" w:rsidRDefault="006A6645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Изплатени суми в брой</w:t>
            </w:r>
          </w:p>
          <w:p w:rsidR="006A6645" w:rsidRPr="00B412A6" w:rsidRDefault="006A6645" w:rsidP="00DB63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Финансови преводи</w:t>
            </w:r>
          </w:p>
          <w:p w:rsidR="00553AA6" w:rsidRPr="00B412A6" w:rsidRDefault="002B7576" w:rsidP="006A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Наличната информация се съпоставя с описанието в документацията и п</w:t>
            </w:r>
            <w:r w:rsidR="00553AA6" w:rsidRPr="00B412A6">
              <w:rPr>
                <w:rFonts w:ascii="Times New Roman" w:hAnsi="Times New Roman" w:cs="Times New Roman"/>
                <w:sz w:val="24"/>
                <w:szCs w:val="24"/>
              </w:rPr>
              <w:t>редставените Общи правила и условия</w:t>
            </w:r>
          </w:p>
          <w:p w:rsidR="00553AA6" w:rsidRPr="00B412A6" w:rsidRDefault="00553AA6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F44845" w:rsidRPr="00B412A6" w:rsidRDefault="006A6645" w:rsidP="00A1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A6">
              <w:rPr>
                <w:rFonts w:ascii="Times New Roman" w:hAnsi="Times New Roman" w:cs="Times New Roman"/>
                <w:sz w:val="24"/>
                <w:szCs w:val="24"/>
              </w:rPr>
              <w:t>Наличие на посочената информация</w:t>
            </w:r>
          </w:p>
        </w:tc>
      </w:tr>
    </w:tbl>
    <w:p w:rsidR="00F44845" w:rsidRPr="00B412A6" w:rsidRDefault="00F44845" w:rsidP="00653DA3">
      <w:pPr>
        <w:pStyle w:val="ListParagraph"/>
        <w:ind w:left="1080"/>
        <w:rPr>
          <w:sz w:val="24"/>
          <w:szCs w:val="24"/>
          <w:lang w:val="ru-RU"/>
        </w:rPr>
      </w:pPr>
    </w:p>
    <w:sectPr w:rsidR="00F44845" w:rsidRPr="00B412A6" w:rsidSect="00DA3E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54" w:rsidRDefault="00225B54">
      <w:r>
        <w:separator/>
      </w:r>
    </w:p>
  </w:endnote>
  <w:endnote w:type="continuationSeparator" w:id="0">
    <w:p w:rsidR="00225B54" w:rsidRDefault="0022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16" w:rsidRDefault="006D4016" w:rsidP="00BD5C6D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6D4016" w:rsidRPr="00BD5C6D" w:rsidRDefault="006D4016" w:rsidP="00BD5C6D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BD5C6D">
      <w:rPr>
        <w:bCs w:val="0"/>
        <w:i/>
        <w:sz w:val="14"/>
        <w:szCs w:val="14"/>
      </w:rPr>
      <w:t>ЦУ на НАП  20</w:t>
    </w:r>
    <w:r>
      <w:rPr>
        <w:bCs w:val="0"/>
        <w:i/>
        <w:sz w:val="14"/>
        <w:szCs w:val="14"/>
      </w:rPr>
      <w:t>2</w:t>
    </w:r>
    <w:r>
      <w:rPr>
        <w:bCs w:val="0"/>
        <w:i/>
        <w:sz w:val="14"/>
        <w:szCs w:val="14"/>
        <w:lang w:val="ru-RU"/>
      </w:rPr>
      <w:t>3</w:t>
    </w:r>
    <w:r>
      <w:rPr>
        <w:bCs w:val="0"/>
        <w:i/>
        <w:sz w:val="14"/>
        <w:szCs w:val="14"/>
      </w:rPr>
      <w:t xml:space="preserve"> </w:t>
    </w:r>
    <w:r w:rsidRPr="00BD5C6D">
      <w:rPr>
        <w:bCs w:val="0"/>
        <w:i/>
        <w:sz w:val="14"/>
        <w:szCs w:val="14"/>
      </w:rPr>
      <w:t>г.</w:t>
    </w:r>
    <w:r>
      <w:rPr>
        <w:bCs w:val="0"/>
        <w:i/>
        <w:sz w:val="14"/>
        <w:szCs w:val="14"/>
      </w:rPr>
      <w:tab/>
    </w:r>
    <w:r w:rsidRPr="00B412A6">
      <w:rPr>
        <w:bCs w:val="0"/>
        <w:i/>
        <w:sz w:val="14"/>
        <w:szCs w:val="14"/>
      </w:rPr>
      <w:t>1 „Публична информация“ - TLP-WHITE</w:t>
    </w:r>
    <w:r>
      <w:t xml:space="preserve"> </w:t>
    </w:r>
    <w:r w:rsidRPr="00BD5C6D">
      <w:rPr>
        <w:bCs w:val="0"/>
        <w:i/>
        <w:sz w:val="14"/>
        <w:szCs w:val="14"/>
      </w:rPr>
      <w:tab/>
      <w:t xml:space="preserve">Страница. </w:t>
    </w:r>
    <w:r w:rsidRPr="00BD5C6D">
      <w:rPr>
        <w:bCs w:val="0"/>
        <w:i/>
        <w:sz w:val="14"/>
        <w:szCs w:val="14"/>
      </w:rPr>
      <w:fldChar w:fldCharType="begin"/>
    </w:r>
    <w:r w:rsidRPr="00BD5C6D">
      <w:rPr>
        <w:bCs w:val="0"/>
        <w:i/>
        <w:sz w:val="14"/>
        <w:szCs w:val="14"/>
      </w:rPr>
      <w:instrText xml:space="preserve"> PAGE </w:instrText>
    </w:r>
    <w:r w:rsidRPr="00BD5C6D">
      <w:rPr>
        <w:bCs w:val="0"/>
        <w:i/>
        <w:sz w:val="14"/>
        <w:szCs w:val="14"/>
      </w:rPr>
      <w:fldChar w:fldCharType="separate"/>
    </w:r>
    <w:r w:rsidR="003F26A3">
      <w:rPr>
        <w:bCs w:val="0"/>
        <w:i/>
        <w:noProof/>
        <w:sz w:val="14"/>
        <w:szCs w:val="14"/>
      </w:rPr>
      <w:t>36</w:t>
    </w:r>
    <w:r w:rsidRPr="00BD5C6D">
      <w:rPr>
        <w:bCs w:val="0"/>
        <w:i/>
        <w:sz w:val="14"/>
        <w:szCs w:val="14"/>
      </w:rPr>
      <w:fldChar w:fldCharType="end"/>
    </w:r>
    <w:r w:rsidRPr="00BD5C6D">
      <w:rPr>
        <w:bCs w:val="0"/>
        <w:i/>
        <w:sz w:val="14"/>
        <w:szCs w:val="14"/>
      </w:rPr>
      <w:t xml:space="preserve"> от </w:t>
    </w:r>
    <w:r w:rsidRPr="00BD5C6D">
      <w:rPr>
        <w:bCs w:val="0"/>
        <w:i/>
        <w:sz w:val="14"/>
        <w:szCs w:val="14"/>
      </w:rPr>
      <w:fldChar w:fldCharType="begin"/>
    </w:r>
    <w:r w:rsidRPr="00BD5C6D">
      <w:rPr>
        <w:bCs w:val="0"/>
        <w:i/>
        <w:sz w:val="14"/>
        <w:szCs w:val="14"/>
      </w:rPr>
      <w:instrText xml:space="preserve"> NUMPAGES </w:instrText>
    </w:r>
    <w:r w:rsidRPr="00BD5C6D">
      <w:rPr>
        <w:bCs w:val="0"/>
        <w:i/>
        <w:sz w:val="14"/>
        <w:szCs w:val="14"/>
      </w:rPr>
      <w:fldChar w:fldCharType="separate"/>
    </w:r>
    <w:r w:rsidR="003F26A3">
      <w:rPr>
        <w:bCs w:val="0"/>
        <w:i/>
        <w:noProof/>
        <w:sz w:val="14"/>
        <w:szCs w:val="14"/>
      </w:rPr>
      <w:t>36</w:t>
    </w:r>
    <w:r w:rsidRPr="00BD5C6D">
      <w:rPr>
        <w:bCs w:val="0"/>
        <w:i/>
        <w:sz w:val="14"/>
        <w:szCs w:val="14"/>
      </w:rPr>
      <w:fldChar w:fldCharType="end"/>
    </w:r>
    <w:r w:rsidRPr="00BD5C6D">
      <w:rPr>
        <w:bCs w:val="0"/>
        <w:i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16" w:rsidRPr="00BD5C6D" w:rsidRDefault="006D4016" w:rsidP="00BD5C6D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6D4016" w:rsidRDefault="006D4016" w:rsidP="00BD5C6D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:rsidR="006D4016" w:rsidRPr="00BD5C6D" w:rsidRDefault="006D4016" w:rsidP="00B412A6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BD5C6D">
      <w:rPr>
        <w:bCs w:val="0"/>
        <w:i/>
        <w:sz w:val="14"/>
        <w:szCs w:val="14"/>
      </w:rPr>
      <w:t>ЦУ на НАП  20</w:t>
    </w:r>
    <w:r>
      <w:rPr>
        <w:bCs w:val="0"/>
        <w:i/>
        <w:sz w:val="14"/>
        <w:szCs w:val="14"/>
      </w:rPr>
      <w:t>2</w:t>
    </w:r>
    <w:r>
      <w:rPr>
        <w:bCs w:val="0"/>
        <w:i/>
        <w:sz w:val="14"/>
        <w:szCs w:val="14"/>
        <w:lang w:val="ru-RU"/>
      </w:rPr>
      <w:t>2</w:t>
    </w:r>
    <w:r>
      <w:rPr>
        <w:bCs w:val="0"/>
        <w:i/>
        <w:sz w:val="14"/>
        <w:szCs w:val="14"/>
      </w:rPr>
      <w:t xml:space="preserve"> </w:t>
    </w:r>
    <w:r w:rsidRPr="00BD5C6D">
      <w:rPr>
        <w:bCs w:val="0"/>
        <w:i/>
        <w:sz w:val="14"/>
        <w:szCs w:val="14"/>
      </w:rPr>
      <w:t>г.</w:t>
    </w:r>
    <w:r>
      <w:rPr>
        <w:bCs w:val="0"/>
        <w:i/>
        <w:sz w:val="14"/>
        <w:szCs w:val="14"/>
      </w:rPr>
      <w:tab/>
    </w:r>
    <w:r w:rsidRPr="00B412A6">
      <w:rPr>
        <w:bCs w:val="0"/>
        <w:i/>
        <w:sz w:val="14"/>
        <w:szCs w:val="14"/>
      </w:rPr>
      <w:t>1 „Публична информация“ - TLP-WHITE</w:t>
    </w:r>
    <w:r>
      <w:t xml:space="preserve"> </w:t>
    </w:r>
    <w:r w:rsidRPr="00BD5C6D">
      <w:rPr>
        <w:bCs w:val="0"/>
        <w:i/>
        <w:sz w:val="14"/>
        <w:szCs w:val="14"/>
      </w:rPr>
      <w:tab/>
      <w:t xml:space="preserve">Страница. </w:t>
    </w:r>
    <w:r w:rsidRPr="00BD5C6D">
      <w:rPr>
        <w:bCs w:val="0"/>
        <w:i/>
        <w:sz w:val="14"/>
        <w:szCs w:val="14"/>
      </w:rPr>
      <w:fldChar w:fldCharType="begin"/>
    </w:r>
    <w:r w:rsidRPr="00BD5C6D">
      <w:rPr>
        <w:bCs w:val="0"/>
        <w:i/>
        <w:sz w:val="14"/>
        <w:szCs w:val="14"/>
      </w:rPr>
      <w:instrText xml:space="preserve"> PAGE </w:instrText>
    </w:r>
    <w:r w:rsidRPr="00BD5C6D">
      <w:rPr>
        <w:bCs w:val="0"/>
        <w:i/>
        <w:sz w:val="14"/>
        <w:szCs w:val="14"/>
      </w:rPr>
      <w:fldChar w:fldCharType="separate"/>
    </w:r>
    <w:r w:rsidR="003F26A3">
      <w:rPr>
        <w:bCs w:val="0"/>
        <w:i/>
        <w:noProof/>
        <w:sz w:val="14"/>
        <w:szCs w:val="14"/>
      </w:rPr>
      <w:t>1</w:t>
    </w:r>
    <w:r w:rsidRPr="00BD5C6D">
      <w:rPr>
        <w:bCs w:val="0"/>
        <w:i/>
        <w:sz w:val="14"/>
        <w:szCs w:val="14"/>
      </w:rPr>
      <w:fldChar w:fldCharType="end"/>
    </w:r>
    <w:r w:rsidRPr="00BD5C6D">
      <w:rPr>
        <w:bCs w:val="0"/>
        <w:i/>
        <w:sz w:val="14"/>
        <w:szCs w:val="14"/>
      </w:rPr>
      <w:t xml:space="preserve"> от </w:t>
    </w:r>
    <w:r w:rsidRPr="00BD5C6D">
      <w:rPr>
        <w:bCs w:val="0"/>
        <w:i/>
        <w:sz w:val="14"/>
        <w:szCs w:val="14"/>
      </w:rPr>
      <w:fldChar w:fldCharType="begin"/>
    </w:r>
    <w:r w:rsidRPr="00BD5C6D">
      <w:rPr>
        <w:bCs w:val="0"/>
        <w:i/>
        <w:sz w:val="14"/>
        <w:szCs w:val="14"/>
      </w:rPr>
      <w:instrText xml:space="preserve"> NUMPAGES </w:instrText>
    </w:r>
    <w:r w:rsidRPr="00BD5C6D">
      <w:rPr>
        <w:bCs w:val="0"/>
        <w:i/>
        <w:sz w:val="14"/>
        <w:szCs w:val="14"/>
      </w:rPr>
      <w:fldChar w:fldCharType="separate"/>
    </w:r>
    <w:r w:rsidR="003F26A3">
      <w:rPr>
        <w:bCs w:val="0"/>
        <w:i/>
        <w:noProof/>
        <w:sz w:val="14"/>
        <w:szCs w:val="14"/>
      </w:rPr>
      <w:t>36</w:t>
    </w:r>
    <w:r w:rsidRPr="00BD5C6D">
      <w:rPr>
        <w:bCs w:val="0"/>
        <w:i/>
        <w:sz w:val="14"/>
        <w:szCs w:val="14"/>
      </w:rPr>
      <w:fldChar w:fldCharType="end"/>
    </w:r>
    <w:r w:rsidRPr="00BD5C6D">
      <w:rPr>
        <w:bCs w:val="0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54" w:rsidRDefault="00225B54">
      <w:r>
        <w:separator/>
      </w:r>
    </w:p>
  </w:footnote>
  <w:footnote w:type="continuationSeparator" w:id="0">
    <w:p w:rsidR="00225B54" w:rsidRDefault="0022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16" w:rsidRPr="00AA020E" w:rsidRDefault="006D4016" w:rsidP="00833FE7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8CF2144" wp14:editId="1D3C1CF9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16" w:rsidRPr="009E0A63" w:rsidRDefault="006D4016" w:rsidP="00833FE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6D4016" w:rsidRPr="009E0A63" w:rsidRDefault="006D4016" w:rsidP="00833FE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6D4016" w:rsidRPr="005E1C71" w:rsidRDefault="006D4016">
    <w:pPr>
      <w:pStyle w:val="Header"/>
      <w:rPr>
        <w:lang w:val="ru-RU"/>
      </w:rPr>
    </w:pPr>
  </w:p>
  <w:p w:rsidR="006D4016" w:rsidRPr="005E1C71" w:rsidRDefault="006D4016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16" w:rsidRPr="00AA020E" w:rsidRDefault="006D4016" w:rsidP="00833FE7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F31BF" wp14:editId="6AB43FA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16" w:rsidRPr="009E0A63" w:rsidRDefault="006D4016" w:rsidP="00833FE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6D4016" w:rsidRPr="009E0A63" w:rsidRDefault="006D4016" w:rsidP="00833FE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6D4016" w:rsidRPr="009E0A63" w:rsidRDefault="006D4016" w:rsidP="00833FE7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>1000  София, бул. “Княз Дондуков” № 52  Телефон: 0700 18 700 Факс: (02) 9859 3099</w:t>
    </w:r>
  </w:p>
  <w:p w:rsidR="006D4016" w:rsidRDefault="006D4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82A"/>
    <w:multiLevelType w:val="hybridMultilevel"/>
    <w:tmpl w:val="A92C661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025"/>
    <w:multiLevelType w:val="hybridMultilevel"/>
    <w:tmpl w:val="283C01D0"/>
    <w:lvl w:ilvl="0" w:tplc="1352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240"/>
    <w:multiLevelType w:val="multilevel"/>
    <w:tmpl w:val="F79E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E501E6"/>
    <w:multiLevelType w:val="hybridMultilevel"/>
    <w:tmpl w:val="36000F86"/>
    <w:lvl w:ilvl="0" w:tplc="45703D2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360FD"/>
    <w:multiLevelType w:val="hybridMultilevel"/>
    <w:tmpl w:val="129E7D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402A"/>
    <w:multiLevelType w:val="hybridMultilevel"/>
    <w:tmpl w:val="CDBAF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64C"/>
    <w:multiLevelType w:val="hybridMultilevel"/>
    <w:tmpl w:val="C58AC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D15"/>
    <w:multiLevelType w:val="hybridMultilevel"/>
    <w:tmpl w:val="3E2CA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CC9"/>
    <w:multiLevelType w:val="hybridMultilevel"/>
    <w:tmpl w:val="E034E7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5540"/>
    <w:multiLevelType w:val="hybridMultilevel"/>
    <w:tmpl w:val="886AC6A6"/>
    <w:lvl w:ilvl="0" w:tplc="45703D2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F2A8E"/>
    <w:multiLevelType w:val="hybridMultilevel"/>
    <w:tmpl w:val="897009B2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80A0240"/>
    <w:multiLevelType w:val="hybridMultilevel"/>
    <w:tmpl w:val="09102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950BC"/>
    <w:multiLevelType w:val="hybridMultilevel"/>
    <w:tmpl w:val="2702B9E2"/>
    <w:lvl w:ilvl="0" w:tplc="45703D26">
      <w:start w:val="3"/>
      <w:numFmt w:val="bullet"/>
      <w:lvlText w:val="-"/>
      <w:lvlJc w:val="left"/>
      <w:pPr>
        <w:ind w:left="234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66CA"/>
    <w:multiLevelType w:val="hybridMultilevel"/>
    <w:tmpl w:val="5246B6EC"/>
    <w:lvl w:ilvl="0" w:tplc="1352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22FC"/>
    <w:multiLevelType w:val="multilevel"/>
    <w:tmpl w:val="ADC63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FA"/>
    <w:rsid w:val="000030A9"/>
    <w:rsid w:val="000140B7"/>
    <w:rsid w:val="00014798"/>
    <w:rsid w:val="00014F06"/>
    <w:rsid w:val="00015486"/>
    <w:rsid w:val="00020087"/>
    <w:rsid w:val="0002034E"/>
    <w:rsid w:val="000230F1"/>
    <w:rsid w:val="00035DD8"/>
    <w:rsid w:val="00036D16"/>
    <w:rsid w:val="000373D7"/>
    <w:rsid w:val="000375C6"/>
    <w:rsid w:val="00042E7F"/>
    <w:rsid w:val="00043D28"/>
    <w:rsid w:val="00044258"/>
    <w:rsid w:val="00044956"/>
    <w:rsid w:val="00047E10"/>
    <w:rsid w:val="00047E5E"/>
    <w:rsid w:val="00053336"/>
    <w:rsid w:val="00061650"/>
    <w:rsid w:val="000620DA"/>
    <w:rsid w:val="0006311F"/>
    <w:rsid w:val="00073A54"/>
    <w:rsid w:val="00075C8C"/>
    <w:rsid w:val="0007611B"/>
    <w:rsid w:val="00085701"/>
    <w:rsid w:val="00093735"/>
    <w:rsid w:val="00094DF6"/>
    <w:rsid w:val="000955BD"/>
    <w:rsid w:val="00095A1D"/>
    <w:rsid w:val="000967BA"/>
    <w:rsid w:val="00097C5E"/>
    <w:rsid w:val="000A219B"/>
    <w:rsid w:val="000A4C37"/>
    <w:rsid w:val="000A73ED"/>
    <w:rsid w:val="000B0C6A"/>
    <w:rsid w:val="000B1166"/>
    <w:rsid w:val="000B2367"/>
    <w:rsid w:val="000B2871"/>
    <w:rsid w:val="000B4D2B"/>
    <w:rsid w:val="000B51CF"/>
    <w:rsid w:val="000B7344"/>
    <w:rsid w:val="000C05E8"/>
    <w:rsid w:val="000D08EE"/>
    <w:rsid w:val="000D0D86"/>
    <w:rsid w:val="000D2175"/>
    <w:rsid w:val="000D5277"/>
    <w:rsid w:val="000F2337"/>
    <w:rsid w:val="000F4928"/>
    <w:rsid w:val="0010168D"/>
    <w:rsid w:val="00104B55"/>
    <w:rsid w:val="00104E0A"/>
    <w:rsid w:val="00107DFE"/>
    <w:rsid w:val="00114621"/>
    <w:rsid w:val="00115A80"/>
    <w:rsid w:val="00117224"/>
    <w:rsid w:val="00120F56"/>
    <w:rsid w:val="0012109E"/>
    <w:rsid w:val="0012163A"/>
    <w:rsid w:val="00123A20"/>
    <w:rsid w:val="00127CA0"/>
    <w:rsid w:val="0013558A"/>
    <w:rsid w:val="00136FE6"/>
    <w:rsid w:val="00142AB1"/>
    <w:rsid w:val="0014317E"/>
    <w:rsid w:val="00143958"/>
    <w:rsid w:val="0014555A"/>
    <w:rsid w:val="00145F6C"/>
    <w:rsid w:val="00156E08"/>
    <w:rsid w:val="00160F35"/>
    <w:rsid w:val="0016175A"/>
    <w:rsid w:val="00161FA4"/>
    <w:rsid w:val="00164D58"/>
    <w:rsid w:val="00165378"/>
    <w:rsid w:val="00166AA5"/>
    <w:rsid w:val="00170B5D"/>
    <w:rsid w:val="0017351C"/>
    <w:rsid w:val="00173D1D"/>
    <w:rsid w:val="00174F4E"/>
    <w:rsid w:val="00175A6B"/>
    <w:rsid w:val="001771F0"/>
    <w:rsid w:val="00180BC5"/>
    <w:rsid w:val="00182073"/>
    <w:rsid w:val="001842C7"/>
    <w:rsid w:val="00185A81"/>
    <w:rsid w:val="00187DED"/>
    <w:rsid w:val="00191209"/>
    <w:rsid w:val="00191B26"/>
    <w:rsid w:val="0019252B"/>
    <w:rsid w:val="001936B9"/>
    <w:rsid w:val="001A076C"/>
    <w:rsid w:val="001A0B4E"/>
    <w:rsid w:val="001A3526"/>
    <w:rsid w:val="001A54AB"/>
    <w:rsid w:val="001A6F38"/>
    <w:rsid w:val="001B0347"/>
    <w:rsid w:val="001C0295"/>
    <w:rsid w:val="001C046C"/>
    <w:rsid w:val="001C4AC7"/>
    <w:rsid w:val="001C729D"/>
    <w:rsid w:val="001C75FE"/>
    <w:rsid w:val="001C777F"/>
    <w:rsid w:val="001C7C40"/>
    <w:rsid w:val="001D020E"/>
    <w:rsid w:val="001D09C4"/>
    <w:rsid w:val="001D2F1D"/>
    <w:rsid w:val="001E4CCF"/>
    <w:rsid w:val="001E504E"/>
    <w:rsid w:val="001E523A"/>
    <w:rsid w:val="001F0EBE"/>
    <w:rsid w:val="001F1517"/>
    <w:rsid w:val="001F1F42"/>
    <w:rsid w:val="001F3B4E"/>
    <w:rsid w:val="001F6939"/>
    <w:rsid w:val="001F7BEA"/>
    <w:rsid w:val="002054E9"/>
    <w:rsid w:val="002060B4"/>
    <w:rsid w:val="00206D43"/>
    <w:rsid w:val="00207FF6"/>
    <w:rsid w:val="0021179D"/>
    <w:rsid w:val="002136BA"/>
    <w:rsid w:val="002140DD"/>
    <w:rsid w:val="0021459E"/>
    <w:rsid w:val="0021495C"/>
    <w:rsid w:val="002153DF"/>
    <w:rsid w:val="0022121D"/>
    <w:rsid w:val="00221F33"/>
    <w:rsid w:val="0022225E"/>
    <w:rsid w:val="002246D6"/>
    <w:rsid w:val="00225B54"/>
    <w:rsid w:val="00230004"/>
    <w:rsid w:val="00230704"/>
    <w:rsid w:val="00230E3C"/>
    <w:rsid w:val="00231AA9"/>
    <w:rsid w:val="00234484"/>
    <w:rsid w:val="00234B69"/>
    <w:rsid w:val="00235368"/>
    <w:rsid w:val="00236999"/>
    <w:rsid w:val="002372A3"/>
    <w:rsid w:val="0023738E"/>
    <w:rsid w:val="002373AD"/>
    <w:rsid w:val="002412BD"/>
    <w:rsid w:val="00243773"/>
    <w:rsid w:val="00244850"/>
    <w:rsid w:val="00251CA2"/>
    <w:rsid w:val="00252249"/>
    <w:rsid w:val="0025692D"/>
    <w:rsid w:val="00264769"/>
    <w:rsid w:val="00265845"/>
    <w:rsid w:val="00267D43"/>
    <w:rsid w:val="00273218"/>
    <w:rsid w:val="00273645"/>
    <w:rsid w:val="00276055"/>
    <w:rsid w:val="002804E5"/>
    <w:rsid w:val="00281555"/>
    <w:rsid w:val="00284E6A"/>
    <w:rsid w:val="00287331"/>
    <w:rsid w:val="00292AF0"/>
    <w:rsid w:val="00292C4E"/>
    <w:rsid w:val="00294894"/>
    <w:rsid w:val="002958CF"/>
    <w:rsid w:val="00295C13"/>
    <w:rsid w:val="00296D64"/>
    <w:rsid w:val="00297635"/>
    <w:rsid w:val="002A7E4E"/>
    <w:rsid w:val="002B1F29"/>
    <w:rsid w:val="002B314F"/>
    <w:rsid w:val="002B7576"/>
    <w:rsid w:val="002C09E7"/>
    <w:rsid w:val="002C2CA1"/>
    <w:rsid w:val="002C34FC"/>
    <w:rsid w:val="002C4194"/>
    <w:rsid w:val="002C473E"/>
    <w:rsid w:val="002C5486"/>
    <w:rsid w:val="002C549F"/>
    <w:rsid w:val="002C7507"/>
    <w:rsid w:val="002C755C"/>
    <w:rsid w:val="002D3255"/>
    <w:rsid w:val="002D47D9"/>
    <w:rsid w:val="002D51BF"/>
    <w:rsid w:val="002D62E2"/>
    <w:rsid w:val="002D7FA0"/>
    <w:rsid w:val="002E014A"/>
    <w:rsid w:val="002E0C23"/>
    <w:rsid w:val="002E25E1"/>
    <w:rsid w:val="002E2905"/>
    <w:rsid w:val="002E61D8"/>
    <w:rsid w:val="002E76BB"/>
    <w:rsid w:val="002F44C1"/>
    <w:rsid w:val="002F48D7"/>
    <w:rsid w:val="002F52A0"/>
    <w:rsid w:val="002F54B4"/>
    <w:rsid w:val="002F562F"/>
    <w:rsid w:val="002F6742"/>
    <w:rsid w:val="003000C5"/>
    <w:rsid w:val="003018FE"/>
    <w:rsid w:val="0030389C"/>
    <w:rsid w:val="003058A5"/>
    <w:rsid w:val="00305E54"/>
    <w:rsid w:val="00306D4D"/>
    <w:rsid w:val="00307236"/>
    <w:rsid w:val="00313FAE"/>
    <w:rsid w:val="0031443F"/>
    <w:rsid w:val="003163A7"/>
    <w:rsid w:val="0031652D"/>
    <w:rsid w:val="00316F7C"/>
    <w:rsid w:val="00317590"/>
    <w:rsid w:val="00320755"/>
    <w:rsid w:val="00322067"/>
    <w:rsid w:val="00322672"/>
    <w:rsid w:val="00326682"/>
    <w:rsid w:val="00327BD8"/>
    <w:rsid w:val="0033030A"/>
    <w:rsid w:val="00334B18"/>
    <w:rsid w:val="00335DC2"/>
    <w:rsid w:val="00337CF8"/>
    <w:rsid w:val="00340239"/>
    <w:rsid w:val="003412AF"/>
    <w:rsid w:val="0035294A"/>
    <w:rsid w:val="00353456"/>
    <w:rsid w:val="003539F4"/>
    <w:rsid w:val="003557EB"/>
    <w:rsid w:val="00356A79"/>
    <w:rsid w:val="00360198"/>
    <w:rsid w:val="00360B0D"/>
    <w:rsid w:val="00362DBC"/>
    <w:rsid w:val="003643B2"/>
    <w:rsid w:val="00364F43"/>
    <w:rsid w:val="00365084"/>
    <w:rsid w:val="00366722"/>
    <w:rsid w:val="00370995"/>
    <w:rsid w:val="00373175"/>
    <w:rsid w:val="0037511F"/>
    <w:rsid w:val="00375B36"/>
    <w:rsid w:val="0037623F"/>
    <w:rsid w:val="00377D66"/>
    <w:rsid w:val="00380BA8"/>
    <w:rsid w:val="00381337"/>
    <w:rsid w:val="00384076"/>
    <w:rsid w:val="00384B03"/>
    <w:rsid w:val="0038583F"/>
    <w:rsid w:val="0039103A"/>
    <w:rsid w:val="00391C8D"/>
    <w:rsid w:val="003933BD"/>
    <w:rsid w:val="00394E4F"/>
    <w:rsid w:val="00396A6E"/>
    <w:rsid w:val="003A2B5D"/>
    <w:rsid w:val="003A3EBB"/>
    <w:rsid w:val="003B082B"/>
    <w:rsid w:val="003B16E6"/>
    <w:rsid w:val="003B2DE5"/>
    <w:rsid w:val="003B6A49"/>
    <w:rsid w:val="003C0F7D"/>
    <w:rsid w:val="003C281C"/>
    <w:rsid w:val="003C2EEC"/>
    <w:rsid w:val="003C3167"/>
    <w:rsid w:val="003C5EE2"/>
    <w:rsid w:val="003C5F47"/>
    <w:rsid w:val="003C6BB9"/>
    <w:rsid w:val="003C6CAA"/>
    <w:rsid w:val="003D00A1"/>
    <w:rsid w:val="003D0E84"/>
    <w:rsid w:val="003D2A20"/>
    <w:rsid w:val="003D55FB"/>
    <w:rsid w:val="003E107F"/>
    <w:rsid w:val="003E2CAF"/>
    <w:rsid w:val="003E2D92"/>
    <w:rsid w:val="003E3CB2"/>
    <w:rsid w:val="003E432B"/>
    <w:rsid w:val="003E5801"/>
    <w:rsid w:val="003F2584"/>
    <w:rsid w:val="003F26A3"/>
    <w:rsid w:val="003F42C2"/>
    <w:rsid w:val="003F44B9"/>
    <w:rsid w:val="003F60D7"/>
    <w:rsid w:val="004076C8"/>
    <w:rsid w:val="00407861"/>
    <w:rsid w:val="00410A36"/>
    <w:rsid w:val="00413591"/>
    <w:rsid w:val="00420B15"/>
    <w:rsid w:val="00422EFD"/>
    <w:rsid w:val="00424304"/>
    <w:rsid w:val="00424F9F"/>
    <w:rsid w:val="00431CE3"/>
    <w:rsid w:val="00440A3D"/>
    <w:rsid w:val="00443D64"/>
    <w:rsid w:val="004466B5"/>
    <w:rsid w:val="00447DF4"/>
    <w:rsid w:val="00453430"/>
    <w:rsid w:val="004547EB"/>
    <w:rsid w:val="00456E8A"/>
    <w:rsid w:val="00462A5B"/>
    <w:rsid w:val="004658D6"/>
    <w:rsid w:val="004674BD"/>
    <w:rsid w:val="00471EDD"/>
    <w:rsid w:val="004731C6"/>
    <w:rsid w:val="00473F8C"/>
    <w:rsid w:val="00482BE9"/>
    <w:rsid w:val="00482CE1"/>
    <w:rsid w:val="00482E3A"/>
    <w:rsid w:val="004850AF"/>
    <w:rsid w:val="004874FD"/>
    <w:rsid w:val="004876E2"/>
    <w:rsid w:val="00487AF9"/>
    <w:rsid w:val="004917CF"/>
    <w:rsid w:val="00492AEA"/>
    <w:rsid w:val="00495EE5"/>
    <w:rsid w:val="004A08F6"/>
    <w:rsid w:val="004A0B5C"/>
    <w:rsid w:val="004A4F26"/>
    <w:rsid w:val="004A5703"/>
    <w:rsid w:val="004B031D"/>
    <w:rsid w:val="004B1923"/>
    <w:rsid w:val="004B65A4"/>
    <w:rsid w:val="004C24FC"/>
    <w:rsid w:val="004C61F8"/>
    <w:rsid w:val="004D0163"/>
    <w:rsid w:val="004D255D"/>
    <w:rsid w:val="004D39C0"/>
    <w:rsid w:val="004D3B82"/>
    <w:rsid w:val="004E1447"/>
    <w:rsid w:val="004E182B"/>
    <w:rsid w:val="004E1DD9"/>
    <w:rsid w:val="004E2D8A"/>
    <w:rsid w:val="004E74BC"/>
    <w:rsid w:val="004E7B2B"/>
    <w:rsid w:val="004F0953"/>
    <w:rsid w:val="005001A6"/>
    <w:rsid w:val="00501B13"/>
    <w:rsid w:val="0050293F"/>
    <w:rsid w:val="00502DBE"/>
    <w:rsid w:val="0050429E"/>
    <w:rsid w:val="005067E4"/>
    <w:rsid w:val="00510081"/>
    <w:rsid w:val="00510AC3"/>
    <w:rsid w:val="00515C7B"/>
    <w:rsid w:val="00517041"/>
    <w:rsid w:val="00517AE5"/>
    <w:rsid w:val="00520AE2"/>
    <w:rsid w:val="00521B2D"/>
    <w:rsid w:val="00522EF1"/>
    <w:rsid w:val="0052538C"/>
    <w:rsid w:val="00525C6B"/>
    <w:rsid w:val="00525E4E"/>
    <w:rsid w:val="00527B9B"/>
    <w:rsid w:val="00532B3D"/>
    <w:rsid w:val="0053318C"/>
    <w:rsid w:val="00535991"/>
    <w:rsid w:val="005409A9"/>
    <w:rsid w:val="00543030"/>
    <w:rsid w:val="005460FD"/>
    <w:rsid w:val="00550250"/>
    <w:rsid w:val="00550787"/>
    <w:rsid w:val="005528EC"/>
    <w:rsid w:val="00553AA6"/>
    <w:rsid w:val="0055485B"/>
    <w:rsid w:val="00556BD7"/>
    <w:rsid w:val="005632F9"/>
    <w:rsid w:val="00563F72"/>
    <w:rsid w:val="0056469E"/>
    <w:rsid w:val="005656DA"/>
    <w:rsid w:val="00565D50"/>
    <w:rsid w:val="005708F6"/>
    <w:rsid w:val="00570F28"/>
    <w:rsid w:val="00573DAF"/>
    <w:rsid w:val="005744D4"/>
    <w:rsid w:val="00574936"/>
    <w:rsid w:val="0058221C"/>
    <w:rsid w:val="0058470D"/>
    <w:rsid w:val="00584951"/>
    <w:rsid w:val="00585424"/>
    <w:rsid w:val="005856A3"/>
    <w:rsid w:val="0058572C"/>
    <w:rsid w:val="00586A77"/>
    <w:rsid w:val="00590607"/>
    <w:rsid w:val="00590BEF"/>
    <w:rsid w:val="00591BFD"/>
    <w:rsid w:val="00592F2F"/>
    <w:rsid w:val="005933B4"/>
    <w:rsid w:val="00594C39"/>
    <w:rsid w:val="00595642"/>
    <w:rsid w:val="005A3019"/>
    <w:rsid w:val="005A3869"/>
    <w:rsid w:val="005A675C"/>
    <w:rsid w:val="005B01F3"/>
    <w:rsid w:val="005B0369"/>
    <w:rsid w:val="005B5275"/>
    <w:rsid w:val="005C2CD6"/>
    <w:rsid w:val="005C773E"/>
    <w:rsid w:val="005D0C23"/>
    <w:rsid w:val="005D2778"/>
    <w:rsid w:val="005D2B5E"/>
    <w:rsid w:val="005D3D65"/>
    <w:rsid w:val="005D43D8"/>
    <w:rsid w:val="005D7128"/>
    <w:rsid w:val="005E1C71"/>
    <w:rsid w:val="005E64CB"/>
    <w:rsid w:val="005E6A59"/>
    <w:rsid w:val="005E756A"/>
    <w:rsid w:val="005F1F3E"/>
    <w:rsid w:val="005F7A0E"/>
    <w:rsid w:val="00600AB5"/>
    <w:rsid w:val="00600E70"/>
    <w:rsid w:val="0060260C"/>
    <w:rsid w:val="00606A5A"/>
    <w:rsid w:val="00607359"/>
    <w:rsid w:val="00611B5C"/>
    <w:rsid w:val="00615281"/>
    <w:rsid w:val="0061543E"/>
    <w:rsid w:val="00617928"/>
    <w:rsid w:val="00617C83"/>
    <w:rsid w:val="00617FE5"/>
    <w:rsid w:val="00621567"/>
    <w:rsid w:val="006231FA"/>
    <w:rsid w:val="00623921"/>
    <w:rsid w:val="00623E54"/>
    <w:rsid w:val="0063154F"/>
    <w:rsid w:val="0063384C"/>
    <w:rsid w:val="006343AF"/>
    <w:rsid w:val="00635D12"/>
    <w:rsid w:val="00636798"/>
    <w:rsid w:val="00637E0B"/>
    <w:rsid w:val="00642814"/>
    <w:rsid w:val="006437D3"/>
    <w:rsid w:val="00644F58"/>
    <w:rsid w:val="006533B1"/>
    <w:rsid w:val="00653DA3"/>
    <w:rsid w:val="00654098"/>
    <w:rsid w:val="0065493F"/>
    <w:rsid w:val="0065573C"/>
    <w:rsid w:val="006567DF"/>
    <w:rsid w:val="00660BB1"/>
    <w:rsid w:val="006679B1"/>
    <w:rsid w:val="00672C90"/>
    <w:rsid w:val="00674923"/>
    <w:rsid w:val="0067611E"/>
    <w:rsid w:val="00683F77"/>
    <w:rsid w:val="0068475A"/>
    <w:rsid w:val="006864DE"/>
    <w:rsid w:val="00686CED"/>
    <w:rsid w:val="0068794A"/>
    <w:rsid w:val="00690D70"/>
    <w:rsid w:val="00697350"/>
    <w:rsid w:val="006A01D2"/>
    <w:rsid w:val="006A03A1"/>
    <w:rsid w:val="006A11D1"/>
    <w:rsid w:val="006A1603"/>
    <w:rsid w:val="006A6645"/>
    <w:rsid w:val="006A6832"/>
    <w:rsid w:val="006A7915"/>
    <w:rsid w:val="006A7955"/>
    <w:rsid w:val="006A7C01"/>
    <w:rsid w:val="006B0DE9"/>
    <w:rsid w:val="006B49BB"/>
    <w:rsid w:val="006B5E03"/>
    <w:rsid w:val="006C54F7"/>
    <w:rsid w:val="006D0C93"/>
    <w:rsid w:val="006D4016"/>
    <w:rsid w:val="006E0CFF"/>
    <w:rsid w:val="006E2805"/>
    <w:rsid w:val="006E3EA9"/>
    <w:rsid w:val="006E61F4"/>
    <w:rsid w:val="006F226B"/>
    <w:rsid w:val="006F5460"/>
    <w:rsid w:val="006F62AA"/>
    <w:rsid w:val="006F6ABC"/>
    <w:rsid w:val="006F7A41"/>
    <w:rsid w:val="006F7C50"/>
    <w:rsid w:val="00700B04"/>
    <w:rsid w:val="00701354"/>
    <w:rsid w:val="007014C1"/>
    <w:rsid w:val="00701DD9"/>
    <w:rsid w:val="0070433E"/>
    <w:rsid w:val="00705961"/>
    <w:rsid w:val="00705FA9"/>
    <w:rsid w:val="007108F5"/>
    <w:rsid w:val="007128AC"/>
    <w:rsid w:val="00713187"/>
    <w:rsid w:val="00713404"/>
    <w:rsid w:val="00714AA7"/>
    <w:rsid w:val="00715D45"/>
    <w:rsid w:val="00716BC7"/>
    <w:rsid w:val="007202C5"/>
    <w:rsid w:val="007226F8"/>
    <w:rsid w:val="00725A80"/>
    <w:rsid w:val="00726652"/>
    <w:rsid w:val="00731FB2"/>
    <w:rsid w:val="00733268"/>
    <w:rsid w:val="00733902"/>
    <w:rsid w:val="007346F6"/>
    <w:rsid w:val="00737AEB"/>
    <w:rsid w:val="00744F8F"/>
    <w:rsid w:val="007453C3"/>
    <w:rsid w:val="007455A0"/>
    <w:rsid w:val="00750826"/>
    <w:rsid w:val="00750847"/>
    <w:rsid w:val="00750E18"/>
    <w:rsid w:val="00751740"/>
    <w:rsid w:val="00752336"/>
    <w:rsid w:val="00752B16"/>
    <w:rsid w:val="00753A19"/>
    <w:rsid w:val="00753F12"/>
    <w:rsid w:val="007551A3"/>
    <w:rsid w:val="00760A9C"/>
    <w:rsid w:val="00761356"/>
    <w:rsid w:val="00764113"/>
    <w:rsid w:val="00764171"/>
    <w:rsid w:val="00764B74"/>
    <w:rsid w:val="007702EE"/>
    <w:rsid w:val="00773C7C"/>
    <w:rsid w:val="00774DA9"/>
    <w:rsid w:val="007758C6"/>
    <w:rsid w:val="007766E9"/>
    <w:rsid w:val="0079543E"/>
    <w:rsid w:val="00795C23"/>
    <w:rsid w:val="00796865"/>
    <w:rsid w:val="007A1FE0"/>
    <w:rsid w:val="007A5E3C"/>
    <w:rsid w:val="007B16E0"/>
    <w:rsid w:val="007B18FE"/>
    <w:rsid w:val="007B1B88"/>
    <w:rsid w:val="007B2CC9"/>
    <w:rsid w:val="007B6350"/>
    <w:rsid w:val="007B6CDD"/>
    <w:rsid w:val="007C0691"/>
    <w:rsid w:val="007C1D32"/>
    <w:rsid w:val="007C3B41"/>
    <w:rsid w:val="007C482F"/>
    <w:rsid w:val="007D1985"/>
    <w:rsid w:val="007D4588"/>
    <w:rsid w:val="007D4D9D"/>
    <w:rsid w:val="007E36F4"/>
    <w:rsid w:val="007E3A12"/>
    <w:rsid w:val="007E3FDA"/>
    <w:rsid w:val="007E670A"/>
    <w:rsid w:val="007F0074"/>
    <w:rsid w:val="007F1A9D"/>
    <w:rsid w:val="007F2439"/>
    <w:rsid w:val="007F3897"/>
    <w:rsid w:val="007F3FC2"/>
    <w:rsid w:val="007F5042"/>
    <w:rsid w:val="008019D0"/>
    <w:rsid w:val="0080405A"/>
    <w:rsid w:val="008064D8"/>
    <w:rsid w:val="0081006C"/>
    <w:rsid w:val="00810BC3"/>
    <w:rsid w:val="00812C12"/>
    <w:rsid w:val="008136A5"/>
    <w:rsid w:val="008142EB"/>
    <w:rsid w:val="00814998"/>
    <w:rsid w:val="00814A83"/>
    <w:rsid w:val="0081513A"/>
    <w:rsid w:val="00821747"/>
    <w:rsid w:val="00821EB9"/>
    <w:rsid w:val="0082399D"/>
    <w:rsid w:val="00823F32"/>
    <w:rsid w:val="00833FE7"/>
    <w:rsid w:val="00836EA3"/>
    <w:rsid w:val="00837167"/>
    <w:rsid w:val="0084203A"/>
    <w:rsid w:val="00842D5F"/>
    <w:rsid w:val="008437D8"/>
    <w:rsid w:val="00844DC8"/>
    <w:rsid w:val="00845B01"/>
    <w:rsid w:val="00850B8A"/>
    <w:rsid w:val="00852B91"/>
    <w:rsid w:val="00855B2B"/>
    <w:rsid w:val="0085656A"/>
    <w:rsid w:val="00857CFC"/>
    <w:rsid w:val="008679BB"/>
    <w:rsid w:val="0087183D"/>
    <w:rsid w:val="008731A0"/>
    <w:rsid w:val="00873F1E"/>
    <w:rsid w:val="00875B70"/>
    <w:rsid w:val="00880BF1"/>
    <w:rsid w:val="00896645"/>
    <w:rsid w:val="008A175E"/>
    <w:rsid w:val="008A2565"/>
    <w:rsid w:val="008A6914"/>
    <w:rsid w:val="008A7D85"/>
    <w:rsid w:val="008B002A"/>
    <w:rsid w:val="008B0F76"/>
    <w:rsid w:val="008B4EC6"/>
    <w:rsid w:val="008B5614"/>
    <w:rsid w:val="008C05F5"/>
    <w:rsid w:val="008C1BE5"/>
    <w:rsid w:val="008C1FBE"/>
    <w:rsid w:val="008C219C"/>
    <w:rsid w:val="008C2643"/>
    <w:rsid w:val="008C799E"/>
    <w:rsid w:val="008D11B1"/>
    <w:rsid w:val="008D143E"/>
    <w:rsid w:val="008D330C"/>
    <w:rsid w:val="008D3C67"/>
    <w:rsid w:val="008D5448"/>
    <w:rsid w:val="008E4DF0"/>
    <w:rsid w:val="008E59AA"/>
    <w:rsid w:val="008E59E2"/>
    <w:rsid w:val="008E7ECF"/>
    <w:rsid w:val="008F008B"/>
    <w:rsid w:val="008F134F"/>
    <w:rsid w:val="008F1B42"/>
    <w:rsid w:val="008F5319"/>
    <w:rsid w:val="008F62A7"/>
    <w:rsid w:val="00904829"/>
    <w:rsid w:val="009156F2"/>
    <w:rsid w:val="0091590C"/>
    <w:rsid w:val="00920457"/>
    <w:rsid w:val="00921180"/>
    <w:rsid w:val="009217A8"/>
    <w:rsid w:val="00921921"/>
    <w:rsid w:val="00921AB7"/>
    <w:rsid w:val="00922062"/>
    <w:rsid w:val="00922E32"/>
    <w:rsid w:val="0092462B"/>
    <w:rsid w:val="00924F0F"/>
    <w:rsid w:val="00936E7A"/>
    <w:rsid w:val="00941654"/>
    <w:rsid w:val="0094182B"/>
    <w:rsid w:val="0094243D"/>
    <w:rsid w:val="00942A9D"/>
    <w:rsid w:val="00950766"/>
    <w:rsid w:val="009516ED"/>
    <w:rsid w:val="0095583B"/>
    <w:rsid w:val="00955879"/>
    <w:rsid w:val="0095648F"/>
    <w:rsid w:val="0096240F"/>
    <w:rsid w:val="00962EC6"/>
    <w:rsid w:val="009634D0"/>
    <w:rsid w:val="00963A53"/>
    <w:rsid w:val="00963AC4"/>
    <w:rsid w:val="00963BFC"/>
    <w:rsid w:val="00966954"/>
    <w:rsid w:val="00967149"/>
    <w:rsid w:val="00967A74"/>
    <w:rsid w:val="00967E24"/>
    <w:rsid w:val="00970C53"/>
    <w:rsid w:val="00973493"/>
    <w:rsid w:val="00975E63"/>
    <w:rsid w:val="0097686C"/>
    <w:rsid w:val="00980758"/>
    <w:rsid w:val="00980E88"/>
    <w:rsid w:val="00981EBB"/>
    <w:rsid w:val="00982656"/>
    <w:rsid w:val="00982939"/>
    <w:rsid w:val="00983272"/>
    <w:rsid w:val="00986431"/>
    <w:rsid w:val="00991A82"/>
    <w:rsid w:val="009A2CC3"/>
    <w:rsid w:val="009A347E"/>
    <w:rsid w:val="009A387C"/>
    <w:rsid w:val="009A6223"/>
    <w:rsid w:val="009A7370"/>
    <w:rsid w:val="009A788D"/>
    <w:rsid w:val="009B13B0"/>
    <w:rsid w:val="009B2322"/>
    <w:rsid w:val="009B2932"/>
    <w:rsid w:val="009B2FDE"/>
    <w:rsid w:val="009B68F7"/>
    <w:rsid w:val="009C039A"/>
    <w:rsid w:val="009C2328"/>
    <w:rsid w:val="009C3D52"/>
    <w:rsid w:val="009C49C2"/>
    <w:rsid w:val="009C4A02"/>
    <w:rsid w:val="009C5A64"/>
    <w:rsid w:val="009C61E7"/>
    <w:rsid w:val="009C74D2"/>
    <w:rsid w:val="009C7E81"/>
    <w:rsid w:val="009D6CBE"/>
    <w:rsid w:val="009E49B9"/>
    <w:rsid w:val="009F1DBF"/>
    <w:rsid w:val="009F404D"/>
    <w:rsid w:val="00A03D33"/>
    <w:rsid w:val="00A04AD4"/>
    <w:rsid w:val="00A10BE2"/>
    <w:rsid w:val="00A126B6"/>
    <w:rsid w:val="00A14D1C"/>
    <w:rsid w:val="00A15B3D"/>
    <w:rsid w:val="00A173E4"/>
    <w:rsid w:val="00A229DE"/>
    <w:rsid w:val="00A26BA8"/>
    <w:rsid w:val="00A26DA4"/>
    <w:rsid w:val="00A27CF0"/>
    <w:rsid w:val="00A30B87"/>
    <w:rsid w:val="00A33C67"/>
    <w:rsid w:val="00A35106"/>
    <w:rsid w:val="00A40637"/>
    <w:rsid w:val="00A42DF5"/>
    <w:rsid w:val="00A442B8"/>
    <w:rsid w:val="00A4703C"/>
    <w:rsid w:val="00A52625"/>
    <w:rsid w:val="00A527BC"/>
    <w:rsid w:val="00A54DA4"/>
    <w:rsid w:val="00A5622C"/>
    <w:rsid w:val="00A56458"/>
    <w:rsid w:val="00A63FF5"/>
    <w:rsid w:val="00A640DE"/>
    <w:rsid w:val="00A66091"/>
    <w:rsid w:val="00A715C3"/>
    <w:rsid w:val="00A71AE0"/>
    <w:rsid w:val="00A71CDF"/>
    <w:rsid w:val="00A74E11"/>
    <w:rsid w:val="00A76F71"/>
    <w:rsid w:val="00A808FB"/>
    <w:rsid w:val="00A87691"/>
    <w:rsid w:val="00A904E2"/>
    <w:rsid w:val="00AA0DC7"/>
    <w:rsid w:val="00AA1756"/>
    <w:rsid w:val="00AA4C5E"/>
    <w:rsid w:val="00AA5EF7"/>
    <w:rsid w:val="00AC0CAC"/>
    <w:rsid w:val="00AC13F5"/>
    <w:rsid w:val="00AC3B7E"/>
    <w:rsid w:val="00AD50EB"/>
    <w:rsid w:val="00AD5328"/>
    <w:rsid w:val="00AE49E2"/>
    <w:rsid w:val="00AF3DCE"/>
    <w:rsid w:val="00AF4D1D"/>
    <w:rsid w:val="00B00920"/>
    <w:rsid w:val="00B00C3A"/>
    <w:rsid w:val="00B0333A"/>
    <w:rsid w:val="00B0489C"/>
    <w:rsid w:val="00B052F2"/>
    <w:rsid w:val="00B14BD5"/>
    <w:rsid w:val="00B14FBC"/>
    <w:rsid w:val="00B1545B"/>
    <w:rsid w:val="00B20AEE"/>
    <w:rsid w:val="00B2321D"/>
    <w:rsid w:val="00B31D9F"/>
    <w:rsid w:val="00B3455E"/>
    <w:rsid w:val="00B35161"/>
    <w:rsid w:val="00B3523B"/>
    <w:rsid w:val="00B3580F"/>
    <w:rsid w:val="00B360D5"/>
    <w:rsid w:val="00B3617E"/>
    <w:rsid w:val="00B36D64"/>
    <w:rsid w:val="00B36DCD"/>
    <w:rsid w:val="00B40A96"/>
    <w:rsid w:val="00B412A6"/>
    <w:rsid w:val="00B4211E"/>
    <w:rsid w:val="00B428E2"/>
    <w:rsid w:val="00B43DC0"/>
    <w:rsid w:val="00B50646"/>
    <w:rsid w:val="00B50968"/>
    <w:rsid w:val="00B5193A"/>
    <w:rsid w:val="00B5238D"/>
    <w:rsid w:val="00B5316C"/>
    <w:rsid w:val="00B539B9"/>
    <w:rsid w:val="00B55B24"/>
    <w:rsid w:val="00B56E5F"/>
    <w:rsid w:val="00B61EEC"/>
    <w:rsid w:val="00B65D39"/>
    <w:rsid w:val="00B65E03"/>
    <w:rsid w:val="00B67839"/>
    <w:rsid w:val="00B746AA"/>
    <w:rsid w:val="00B75A5B"/>
    <w:rsid w:val="00B8357A"/>
    <w:rsid w:val="00B859A2"/>
    <w:rsid w:val="00B859A6"/>
    <w:rsid w:val="00B915CE"/>
    <w:rsid w:val="00B924E1"/>
    <w:rsid w:val="00B9517A"/>
    <w:rsid w:val="00B9746B"/>
    <w:rsid w:val="00BA161B"/>
    <w:rsid w:val="00BA73F7"/>
    <w:rsid w:val="00BA78EA"/>
    <w:rsid w:val="00BB0726"/>
    <w:rsid w:val="00BB2E56"/>
    <w:rsid w:val="00BB2EF1"/>
    <w:rsid w:val="00BB3FD6"/>
    <w:rsid w:val="00BB6AC6"/>
    <w:rsid w:val="00BB6C24"/>
    <w:rsid w:val="00BB797F"/>
    <w:rsid w:val="00BC2E1C"/>
    <w:rsid w:val="00BC54CA"/>
    <w:rsid w:val="00BD4FE4"/>
    <w:rsid w:val="00BD5C6D"/>
    <w:rsid w:val="00BD69A5"/>
    <w:rsid w:val="00BD6CCA"/>
    <w:rsid w:val="00BE0DF0"/>
    <w:rsid w:val="00BE1CA2"/>
    <w:rsid w:val="00BE4F0D"/>
    <w:rsid w:val="00BE58A3"/>
    <w:rsid w:val="00BE7689"/>
    <w:rsid w:val="00BE7D2D"/>
    <w:rsid w:val="00BF2CBA"/>
    <w:rsid w:val="00BF3F0C"/>
    <w:rsid w:val="00C02419"/>
    <w:rsid w:val="00C03ED8"/>
    <w:rsid w:val="00C064B3"/>
    <w:rsid w:val="00C101EF"/>
    <w:rsid w:val="00C15544"/>
    <w:rsid w:val="00C168B3"/>
    <w:rsid w:val="00C17524"/>
    <w:rsid w:val="00C21A16"/>
    <w:rsid w:val="00C24361"/>
    <w:rsid w:val="00C25F55"/>
    <w:rsid w:val="00C30614"/>
    <w:rsid w:val="00C31445"/>
    <w:rsid w:val="00C31D47"/>
    <w:rsid w:val="00C320CB"/>
    <w:rsid w:val="00C32296"/>
    <w:rsid w:val="00C3647C"/>
    <w:rsid w:val="00C3718D"/>
    <w:rsid w:val="00C406D7"/>
    <w:rsid w:val="00C410CB"/>
    <w:rsid w:val="00C44DC6"/>
    <w:rsid w:val="00C4550C"/>
    <w:rsid w:val="00C53D64"/>
    <w:rsid w:val="00C57654"/>
    <w:rsid w:val="00C6635B"/>
    <w:rsid w:val="00C70BBD"/>
    <w:rsid w:val="00C71E86"/>
    <w:rsid w:val="00C7718A"/>
    <w:rsid w:val="00C77C19"/>
    <w:rsid w:val="00C816F3"/>
    <w:rsid w:val="00C92394"/>
    <w:rsid w:val="00C93721"/>
    <w:rsid w:val="00C95748"/>
    <w:rsid w:val="00C95FC3"/>
    <w:rsid w:val="00CA05D6"/>
    <w:rsid w:val="00CA1551"/>
    <w:rsid w:val="00CA3936"/>
    <w:rsid w:val="00CA76A2"/>
    <w:rsid w:val="00CB0AE8"/>
    <w:rsid w:val="00CB21AE"/>
    <w:rsid w:val="00CB4153"/>
    <w:rsid w:val="00CB699A"/>
    <w:rsid w:val="00CC34F7"/>
    <w:rsid w:val="00CC3D59"/>
    <w:rsid w:val="00CC5046"/>
    <w:rsid w:val="00CC5C83"/>
    <w:rsid w:val="00CD2D4B"/>
    <w:rsid w:val="00CE5C89"/>
    <w:rsid w:val="00CE6664"/>
    <w:rsid w:val="00CF0253"/>
    <w:rsid w:val="00CF3B32"/>
    <w:rsid w:val="00CF45F0"/>
    <w:rsid w:val="00CF482C"/>
    <w:rsid w:val="00CF6BF8"/>
    <w:rsid w:val="00CF6CF3"/>
    <w:rsid w:val="00D00F5C"/>
    <w:rsid w:val="00D0120A"/>
    <w:rsid w:val="00D17900"/>
    <w:rsid w:val="00D211C0"/>
    <w:rsid w:val="00D214E4"/>
    <w:rsid w:val="00D2214A"/>
    <w:rsid w:val="00D258DB"/>
    <w:rsid w:val="00D25A2B"/>
    <w:rsid w:val="00D3080F"/>
    <w:rsid w:val="00D327A5"/>
    <w:rsid w:val="00D33958"/>
    <w:rsid w:val="00D350A0"/>
    <w:rsid w:val="00D3617C"/>
    <w:rsid w:val="00D379EA"/>
    <w:rsid w:val="00D37CEE"/>
    <w:rsid w:val="00D41568"/>
    <w:rsid w:val="00D47384"/>
    <w:rsid w:val="00D47EB9"/>
    <w:rsid w:val="00D5040B"/>
    <w:rsid w:val="00D53E48"/>
    <w:rsid w:val="00D53F1F"/>
    <w:rsid w:val="00D55FBD"/>
    <w:rsid w:val="00D63CEE"/>
    <w:rsid w:val="00D648F6"/>
    <w:rsid w:val="00D64E7E"/>
    <w:rsid w:val="00D65A60"/>
    <w:rsid w:val="00D67F7A"/>
    <w:rsid w:val="00D7004D"/>
    <w:rsid w:val="00D70CB9"/>
    <w:rsid w:val="00D73FE2"/>
    <w:rsid w:val="00D754C9"/>
    <w:rsid w:val="00D75A9C"/>
    <w:rsid w:val="00D763DE"/>
    <w:rsid w:val="00D76C75"/>
    <w:rsid w:val="00D808E7"/>
    <w:rsid w:val="00D81A99"/>
    <w:rsid w:val="00D82051"/>
    <w:rsid w:val="00D8467C"/>
    <w:rsid w:val="00D93D90"/>
    <w:rsid w:val="00DA2B92"/>
    <w:rsid w:val="00DA3D3F"/>
    <w:rsid w:val="00DA3E3F"/>
    <w:rsid w:val="00DB399B"/>
    <w:rsid w:val="00DB5B3B"/>
    <w:rsid w:val="00DB6345"/>
    <w:rsid w:val="00DC0D58"/>
    <w:rsid w:val="00DC1A20"/>
    <w:rsid w:val="00DC2731"/>
    <w:rsid w:val="00DC49DB"/>
    <w:rsid w:val="00DD6169"/>
    <w:rsid w:val="00DD623C"/>
    <w:rsid w:val="00DE03B1"/>
    <w:rsid w:val="00DE41B2"/>
    <w:rsid w:val="00DE4E51"/>
    <w:rsid w:val="00DF0EAB"/>
    <w:rsid w:val="00DF104A"/>
    <w:rsid w:val="00DF14AC"/>
    <w:rsid w:val="00DF2CA2"/>
    <w:rsid w:val="00DF59A8"/>
    <w:rsid w:val="00DF6A62"/>
    <w:rsid w:val="00E04BC1"/>
    <w:rsid w:val="00E065A7"/>
    <w:rsid w:val="00E104D7"/>
    <w:rsid w:val="00E106D6"/>
    <w:rsid w:val="00E11692"/>
    <w:rsid w:val="00E20E7D"/>
    <w:rsid w:val="00E21232"/>
    <w:rsid w:val="00E2281E"/>
    <w:rsid w:val="00E25DCC"/>
    <w:rsid w:val="00E32045"/>
    <w:rsid w:val="00E35FCF"/>
    <w:rsid w:val="00E40869"/>
    <w:rsid w:val="00E4255E"/>
    <w:rsid w:val="00E45952"/>
    <w:rsid w:val="00E46E23"/>
    <w:rsid w:val="00E507E7"/>
    <w:rsid w:val="00E57FD9"/>
    <w:rsid w:val="00E60E2C"/>
    <w:rsid w:val="00E63985"/>
    <w:rsid w:val="00E71EF2"/>
    <w:rsid w:val="00E72597"/>
    <w:rsid w:val="00E72604"/>
    <w:rsid w:val="00E73910"/>
    <w:rsid w:val="00E74A5D"/>
    <w:rsid w:val="00E751E0"/>
    <w:rsid w:val="00E755A9"/>
    <w:rsid w:val="00E76C47"/>
    <w:rsid w:val="00E7750A"/>
    <w:rsid w:val="00E778E2"/>
    <w:rsid w:val="00E8276F"/>
    <w:rsid w:val="00E84474"/>
    <w:rsid w:val="00E86803"/>
    <w:rsid w:val="00E903CC"/>
    <w:rsid w:val="00E9096F"/>
    <w:rsid w:val="00E91FE4"/>
    <w:rsid w:val="00E9384F"/>
    <w:rsid w:val="00E9505B"/>
    <w:rsid w:val="00E9523A"/>
    <w:rsid w:val="00EA0DA5"/>
    <w:rsid w:val="00EA177F"/>
    <w:rsid w:val="00EA21EB"/>
    <w:rsid w:val="00EA294A"/>
    <w:rsid w:val="00EA2F0C"/>
    <w:rsid w:val="00EA2FAB"/>
    <w:rsid w:val="00EA461E"/>
    <w:rsid w:val="00EA59F7"/>
    <w:rsid w:val="00EA7786"/>
    <w:rsid w:val="00EB0680"/>
    <w:rsid w:val="00EB304D"/>
    <w:rsid w:val="00EB45EB"/>
    <w:rsid w:val="00EB4E88"/>
    <w:rsid w:val="00EC2D9F"/>
    <w:rsid w:val="00EC4C8A"/>
    <w:rsid w:val="00EC57B1"/>
    <w:rsid w:val="00EC7BBE"/>
    <w:rsid w:val="00ED1046"/>
    <w:rsid w:val="00ED2BE0"/>
    <w:rsid w:val="00ED3FA6"/>
    <w:rsid w:val="00ED472D"/>
    <w:rsid w:val="00ED7FB0"/>
    <w:rsid w:val="00EE4CCF"/>
    <w:rsid w:val="00EE4CDB"/>
    <w:rsid w:val="00EE7D23"/>
    <w:rsid w:val="00EF04AC"/>
    <w:rsid w:val="00EF16E5"/>
    <w:rsid w:val="00EF4120"/>
    <w:rsid w:val="00EF7891"/>
    <w:rsid w:val="00EF7D64"/>
    <w:rsid w:val="00EF7EF5"/>
    <w:rsid w:val="00F006D7"/>
    <w:rsid w:val="00F0329E"/>
    <w:rsid w:val="00F0435B"/>
    <w:rsid w:val="00F10E2B"/>
    <w:rsid w:val="00F165ED"/>
    <w:rsid w:val="00F20133"/>
    <w:rsid w:val="00F20691"/>
    <w:rsid w:val="00F25A1C"/>
    <w:rsid w:val="00F30218"/>
    <w:rsid w:val="00F33493"/>
    <w:rsid w:val="00F35577"/>
    <w:rsid w:val="00F368E5"/>
    <w:rsid w:val="00F40102"/>
    <w:rsid w:val="00F44845"/>
    <w:rsid w:val="00F45CE8"/>
    <w:rsid w:val="00F47190"/>
    <w:rsid w:val="00F52DE3"/>
    <w:rsid w:val="00F5699E"/>
    <w:rsid w:val="00F57660"/>
    <w:rsid w:val="00F61D6C"/>
    <w:rsid w:val="00F630A0"/>
    <w:rsid w:val="00F6407C"/>
    <w:rsid w:val="00F64BE7"/>
    <w:rsid w:val="00F6557F"/>
    <w:rsid w:val="00F67B0C"/>
    <w:rsid w:val="00F7444B"/>
    <w:rsid w:val="00F80153"/>
    <w:rsid w:val="00F810A7"/>
    <w:rsid w:val="00F81806"/>
    <w:rsid w:val="00F85AA3"/>
    <w:rsid w:val="00F86051"/>
    <w:rsid w:val="00F87A8C"/>
    <w:rsid w:val="00F91204"/>
    <w:rsid w:val="00F91525"/>
    <w:rsid w:val="00F921BF"/>
    <w:rsid w:val="00F97866"/>
    <w:rsid w:val="00FA0B34"/>
    <w:rsid w:val="00FB0CC3"/>
    <w:rsid w:val="00FB3E02"/>
    <w:rsid w:val="00FB5218"/>
    <w:rsid w:val="00FC18A8"/>
    <w:rsid w:val="00FC21C3"/>
    <w:rsid w:val="00FC5CB4"/>
    <w:rsid w:val="00FD2445"/>
    <w:rsid w:val="00FD5140"/>
    <w:rsid w:val="00FE1B54"/>
    <w:rsid w:val="00FE339D"/>
    <w:rsid w:val="00FF0158"/>
    <w:rsid w:val="00FF1A93"/>
    <w:rsid w:val="00FF2CFF"/>
    <w:rsid w:val="00FF2F68"/>
    <w:rsid w:val="00FF4114"/>
    <w:rsid w:val="00FF4EB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9049C10-EDD0-4D75-8026-6DDE66C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86"/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1FA"/>
    <w:pPr>
      <w:jc w:val="both"/>
    </w:pPr>
    <w:rPr>
      <w:bCs w:val="0"/>
      <w:sz w:val="28"/>
      <w:szCs w:val="20"/>
      <w:lang w:eastAsia="en-US"/>
    </w:rPr>
  </w:style>
  <w:style w:type="paragraph" w:customStyle="1" w:styleId="Normal12pt">
    <w:name w:val="Normal + 12 pt"/>
    <w:basedOn w:val="BodyText"/>
    <w:link w:val="Normal12ptChar"/>
    <w:rsid w:val="007B18FE"/>
    <w:pPr>
      <w:spacing w:line="288" w:lineRule="auto"/>
      <w:ind w:firstLine="720"/>
      <w:jc w:val="left"/>
    </w:pPr>
    <w:rPr>
      <w:sz w:val="24"/>
      <w:szCs w:val="24"/>
    </w:rPr>
  </w:style>
  <w:style w:type="character" w:customStyle="1" w:styleId="BodyTextChar">
    <w:name w:val="Body Text Char"/>
    <w:link w:val="BodyText"/>
    <w:rsid w:val="003C0F7D"/>
    <w:rPr>
      <w:sz w:val="28"/>
      <w:lang w:val="bg-BG" w:eastAsia="en-US" w:bidi="ar-SA"/>
    </w:rPr>
  </w:style>
  <w:style w:type="character" w:customStyle="1" w:styleId="Normal12ptChar">
    <w:name w:val="Normal + 12 pt Char"/>
    <w:link w:val="Normal12pt"/>
    <w:rsid w:val="003C0F7D"/>
    <w:rPr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rsid w:val="004A4F2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A4F26"/>
    <w:rPr>
      <w:bCs/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rsid w:val="004A4F2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A4F26"/>
    <w:rPr>
      <w:bCs/>
      <w:sz w:val="22"/>
      <w:szCs w:val="22"/>
      <w:lang w:val="bg-BG" w:eastAsia="bg-BG"/>
    </w:rPr>
  </w:style>
  <w:style w:type="paragraph" w:customStyle="1" w:styleId="CharChar2">
    <w:name w:val="Char Char2"/>
    <w:basedOn w:val="Normal"/>
    <w:rsid w:val="00C92394"/>
    <w:pPr>
      <w:tabs>
        <w:tab w:val="left" w:pos="709"/>
      </w:tabs>
    </w:pPr>
    <w:rPr>
      <w:rFonts w:ascii="Tahoma" w:eastAsia="MS Mincho" w:hAnsi="Tahoma"/>
      <w:bCs w:val="0"/>
      <w:sz w:val="24"/>
      <w:szCs w:val="24"/>
      <w:lang w:val="pl-PL" w:eastAsia="pl-PL"/>
    </w:rPr>
  </w:style>
  <w:style w:type="character" w:styleId="CommentReference">
    <w:name w:val="annotation reference"/>
    <w:rsid w:val="001E4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CCF"/>
    <w:rPr>
      <w:sz w:val="20"/>
      <w:szCs w:val="20"/>
    </w:rPr>
  </w:style>
  <w:style w:type="character" w:customStyle="1" w:styleId="CommentTextChar">
    <w:name w:val="Comment Text Char"/>
    <w:link w:val="CommentText"/>
    <w:rsid w:val="001E4CCF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1E4CCF"/>
    <w:rPr>
      <w:b/>
    </w:rPr>
  </w:style>
  <w:style w:type="character" w:customStyle="1" w:styleId="CommentSubjectChar">
    <w:name w:val="Comment Subject Char"/>
    <w:link w:val="CommentSubject"/>
    <w:rsid w:val="001E4CCF"/>
    <w:rPr>
      <w:b/>
      <w:bCs/>
    </w:rPr>
  </w:style>
  <w:style w:type="paragraph" w:styleId="BalloonText">
    <w:name w:val="Balloon Text"/>
    <w:basedOn w:val="Normal"/>
    <w:link w:val="BalloonTextChar"/>
    <w:rsid w:val="001E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4CCF"/>
    <w:rPr>
      <w:rFonts w:ascii="Tahoma" w:hAnsi="Tahoma" w:cs="Tahoma"/>
      <w:bCs/>
      <w:sz w:val="16"/>
      <w:szCs w:val="16"/>
    </w:rPr>
  </w:style>
  <w:style w:type="character" w:styleId="Hyperlink">
    <w:name w:val="Hyperlink"/>
    <w:rsid w:val="00DC2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FD"/>
    <w:pPr>
      <w:ind w:left="708"/>
    </w:pPr>
  </w:style>
  <w:style w:type="character" w:customStyle="1" w:styleId="docreference1">
    <w:name w:val="docreference1"/>
    <w:rsid w:val="00C95748"/>
    <w:rPr>
      <w:i w:val="0"/>
      <w:iCs w:val="0"/>
      <w:color w:val="840084"/>
      <w:u w:val="single"/>
    </w:rPr>
  </w:style>
  <w:style w:type="table" w:styleId="TableGrid">
    <w:name w:val="Table Grid"/>
    <w:basedOn w:val="TableNormal"/>
    <w:uiPriority w:val="39"/>
    <w:rsid w:val="00A03D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n3aVFiFHpe1maicmFxKbCFtHUtvtr2UNVWcOL2Ni+UA=</DigestValue>
    </Reference>
    <Reference Type="http://www.w3.org/2000/09/xmldsig#Object" URI="#idOfficeObject">
      <DigestMethod Algorithm="http://www.w3.org/2001/04/xmlenc#sha256"/>
      <DigestValue>jU8OVhFTprwyr80Qthvo1Lv3HVpKY2aVnz4T4oze8jU=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a6TfpX2PuwY3FeVWXWahUqyTfk/XA7lgKoLjlAAYz8g=</DigestValue>
    </Reference>
    <Reference Type="http://www.w3.org/2000/09/xmldsig#Object" URI="#idValidSigLnImg">
      <DigestMethod Algorithm="http://www.w3.org/2001/04/xmlenc#sha256"/>
      <DigestValue>jUHN0KQRJp9cCuAnVKaEQDxl2eHIZ+u3s2l96EpCRHU=</DigestValue>
    </Reference>
    <Reference Type="http://www.w3.org/2000/09/xmldsig#Object" URI="#idInvalidSigLnImg">
      <DigestMethod Algorithm="http://www.w3.org/2001/04/xmlenc#sha256"/>
      <DigestValue>nCLSDwuZ3MOM+yDhJZi/YtJNbPBSczmL1lk7nb0e3cw=</DigestValue>
    </Reference>
  </SignedInfo>
  <SignatureValue>czJEo/IVPVlF4hqrYcJU/zdG4/jEb5Ubm5HNrKJLyRgN0+AONDCDmf6bLF9fZ7XjhLCOXzPGvaxj
ISZfCg/yNZxOERq8KZvxyFz2La+TMgU6KZDZfLr7SERy1DBoRCm88jgLWg9stqmmWKRJfsMEhnjh
3R1L2HC5uQQTUULeF/EfCduYqc8YUFgO3LLPVmXvc08EQQlURIPAAdPstb5HKUSBT4jClkj9tB4Z
o+dSXSaUSJawzxkoibfLibSshy9e5eoBQKjysXzJIa9IMTkvB/YmxoORUP3zD4Nb48T4ojAsirIS
wbJVGM5eYvjJunHfjWP9WYQg8VTgiMiPa9Uw9Q==</SignatureValue>
  <KeyInfo>
    <X509Data>
      <X509Certificate>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XwqlZ9BFumPmfost7DOYxsE6HRaQRLn9C0ixLJvzxe4=</DigestValue>
      </Reference>
      <Reference URI="/word/endnotes.xml?ContentType=application/vnd.openxmlformats-officedocument.wordprocessingml.endnotes+xml">
        <DigestMethod Algorithm="http://www.w3.org/2001/04/xmlenc#sha256"/>
        <DigestValue>2Sz1JjDYyL65/eEVTAfcI8/HKsbKuAqekgIKOkxFrIw=</DigestValue>
      </Reference>
      <Reference URI="/word/fontTable.xml?ContentType=application/vnd.openxmlformats-officedocument.wordprocessingml.fontTable+xml">
        <DigestMethod Algorithm="http://www.w3.org/2001/04/xmlenc#sha256"/>
        <DigestValue>naTqLXXumWpQo2EvMSaE0mlkYZTk/IRZFsRnKxI5mII=</DigestValue>
      </Reference>
      <Reference URI="/word/footer1.xml?ContentType=application/vnd.openxmlformats-officedocument.wordprocessingml.footer+xml">
        <DigestMethod Algorithm="http://www.w3.org/2001/04/xmlenc#sha256"/>
        <DigestValue>5STtu9OFump2GvjXe4iPdiYixI6JkhT093QND1cZg2c=</DigestValue>
      </Reference>
      <Reference URI="/word/footer2.xml?ContentType=application/vnd.openxmlformats-officedocument.wordprocessingml.footer+xml">
        <DigestMethod Algorithm="http://www.w3.org/2001/04/xmlenc#sha256"/>
        <DigestValue>dVt79/lLLu8W/FNPiYRpVSpyKvKfjLOVOZhDNcZM8Bc=</DigestValue>
      </Reference>
      <Reference URI="/word/footnotes.xml?ContentType=application/vnd.openxmlformats-officedocument.wordprocessingml.footnotes+xml">
        <DigestMethod Algorithm="http://www.w3.org/2001/04/xmlenc#sha256"/>
        <DigestValue>qessRjDRnlE7pB3KRBDxvKyWVVN15moQED3PyZuYmUk=</DigestValue>
      </Reference>
      <Reference URI="/word/header1.xml?ContentType=application/vnd.openxmlformats-officedocument.wordprocessingml.header+xml">
        <DigestMethod Algorithm="http://www.w3.org/2001/04/xmlenc#sha256"/>
        <DigestValue>sGTqj6uIYsH6bO8V94hQsiWMiJvYVUIDZS8sW7Pzj9U=</DigestValue>
      </Reference>
      <Reference URI="/word/header2.xml?ContentType=application/vnd.openxmlformats-officedocument.wordprocessingml.header+xml">
        <DigestMethod Algorithm="http://www.w3.org/2001/04/xmlenc#sha256"/>
        <DigestValue>jKaz1trXtEmsV1JGPuUGePRQuJ5+EwwgwC5IW17lgLU=</DigestValue>
      </Reference>
      <Reference URI="/word/media/image1.emf?ContentType=image/x-emf">
        <DigestMethod Algorithm="http://www.w3.org/2001/04/xmlenc#sha256"/>
        <DigestValue>JDnEp2U0k3yqWuYBJHMOTZAKmt1mBfAzAcmtMthil7E=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sF/baxTMnpgB2XWwpndB9hVCuSlD1bwQ/5MW8FPIgsg=</DigestValue>
      </Reference>
      <Reference URI="/word/settings.xml?ContentType=application/vnd.openxmlformats-officedocument.wordprocessingml.settings+xml">
        <DigestMethod Algorithm="http://www.w3.org/2001/04/xmlenc#sha256"/>
        <DigestValue>Z47AvGF2D6WZEBFV5V+19qDBeMmXYxK9muwlw5CAyIA=</DigestValue>
      </Reference>
      <Reference URI="/word/styles.xml?ContentType=application/vnd.openxmlformats-officedocument.wordprocessingml.styles+xml">
        <DigestMethod Algorithm="http://www.w3.org/2001/04/xmlenc#sha256"/>
        <DigestValue>XFfvMdjfGn62f5ktTQacaBLXV3vIi3hsTpGsbBz6nZo=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uDzZkT4nJBWOOAM68jwK4B3TvP6T1vJlS+/nSQP6aI4=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2023-10-11T12:37:15Z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{BD570B3A-BEEA-4E02-AFA1-5A33E34E5E66}</SetupID>
          <SignatureText>З-ЦУ-2095/10.10.2023г.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2023-10-11T12:37:15Z</xd:SigningTime>
          <xd:SigningCertificate>
            <xd:Cert>
              <xd:CertDigest>
                <DigestMethod Algorithm="http://www.w3.org/2001/04/xmlenc#sha256"/>
                <DigestValue>ZGtpGpZtXpSOHbBvSHRqD2Z1kxgYOpJPBwphuKs3YEU=</DigestValue>
              </xd:CertDigest>
              <xd:IssuerSerial>
                <X509IssuerName>C=BG, L=Sofia, O=Information Services JSC, OID.2.5.4.97=NTRBG-831641791, CN=StampIT Global Qualified CA</X509IssuerName>
                <X509SerialNumber>2822127381385989603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a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nf7jdgAAAAAE+FN2AAAAAEBJn2oAAAAAuhWgagAAAABsR6FqAAAAALD6N2oAAAAA+vU3agAAAABL8zdqAAAAAEXuN2oAAAAAqec3agAAAABC5TdqAAAAAAPYN2oAAAAAv9Y3agAAAACNZjFqAAAAABzbkdzY6ZgAAAAAAAAAmADghA5uGIgbsv7///8I7JgAHNOyd0DrmACAUaoAYJ8NbgAAAABI07J3//8AAAAAAAAr1LJ3K9SydzjsmAAAAJgABwAAAAAAAAABB+N2CQAAAAcAAABo7JgAaOyYAAACAAD8////AQAAAAAAAAAAAAAAAAAAAAAAAAD41Pd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YBkMAQAAUI2YAHhpsnUGQAoHxI2YALCPmACFabJ1hQtxWGiNmAAAAAAAAAAAAIDlWWqmeS5qiP0pCeiMmABMjZgA+qFUav////84jZgA0rswalAgNWoGvDBqRx8valkfL2rJC3FYgOVZaqkLcVhgjZgAs7swarDmbxkAAAAAAACIKoiNmAAYj5gAOWeydWiNmAACAAAARWeydQyoWWrg////AAAAAAAAAAAAAAAAkAEAAAAAAAEAAAAAYQByAAAAAAAAAAAAAQfjdgAAAAAGAAAAvI6YALyOmAAAAgAA/P///wEAAAAAAAAAAAAAAAAAAAAAAAAAAAAAAAAAAABkdgAIAAAAACUAAAAMAAAAAwAAABgAAAAMAAAAAAAAAh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CUAAAAXAAAAAEAAABVldtBX0LbQQoAAABQAAAAFQAAAEwAAAAAAAAAAAAAAAAAAAD//////////3gAAAAjBCIEEgQqBCAEFAQVBB0EEAQgACEEKgQhBCAAFwQQBB8EHgQSBBUEFAQAAAYAAAAGAAAABgAAAAgAAAAGAAAACAAAAAYAAAAIAAAABwAAAAMAAAAHAAAACAAAAAcAAAADAAAABgAAAAcAAAAIAAAACQAAAAYAAAAGAAAAC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OAAAABsAAAAAQAAAFWV20FfQttBCgAAAGAAAAAgAAAATAAAAAAAAAAAAAAAAAAAAP//////////jAAAAB0EEAQgABgEFwQfBCoEGwQdBBgEIgQVBBsEHQQYBC8EIAAUBBgEIAQVBBoEIgQeBCAEIAAdBBAEIAAdBBAEHwQIAAAABwAAAAMAAAAIAAAABgAAAAgAAAAIAAAABwAAAAgAAAAIAAAABgAAAAYAAAAHAAAACAAAAAgAAAAHAAAAAwAAAAgAAAAIAAAABgAAAAYAAAAGAAAABgAAAAkAAAAGAAAAAwAAAAgAAAAHAAAAAwAAAAgAAAAHAAAACAAAAEsAAABAAAAAMAAAAAUAAAAgAAAAAQAAAAEAAAAQAAAAAAAAAAAAAAAAAQAAgAAAAAAAAAAAAAAAAAEAAIAAAAAlAAAADAAAAAI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BgBAAAKAAAAcAAAAMUAAAB8AAAAAQAAAFWV20FfQttBCgAAAHAAAAAiAAAATAAAAAQAAAAJAAAAcAAAAMcAAAB9AAAAkAAAAFMAaQBnAG4AZQBkACAAYgB5ADoAIABOAGEAdABpAG8AbgBhAGwAIABSAGUAdgBlAG4AdQBlACAAQQBnAGUAbgBjAHkABgAAAAMAAAAHAAAABwAAAAYAAAAHAAAAAwAAAAcAAAAFAAAAAwAAAAMAAAAIAAAABgAAAAQAAAADAAAABwAAAAcAAAAGAAAAAwAAAAMAAAAHAAAABgAAAAUAAAAGAAAABwAAAAcAAAAGAAAAAwAAAAcAAAAHAAAABgAAAAcAAAAFAAAABQAAABYAAAAMAAAAAAAAACUAAAAMAAAAAgAAAA4AAAAUAAAAAAAAABAAAAAUAAAA</Object>
  <Object Id="idInvalidSigLnImg">AQAAAGwAAAAAAAAAAAAAAP8AAAB/AAAAAAAAAAAAAABzGwAAtQ0AACBFTUYAAAEA/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gAAAAAfqbJd6PIeqDCQFZ4JTd0Lk/HMVPSGy5uFiE4GypVJ0KnHjN9AAABZg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PxQ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dDqD/ZHbQUKoAhHfKardBCgCEqZgAcKuYAIVpsnWd/uN2KKmYAAAAAAAAAAAAcGAtagAAAAATaC1qAAAAAFwAMWoAAAAA0vswagAAAADg+TBqAAAAAE3xMWoAAAAA6/AxagAAAAAg8zBqAAAAAP/vMWoAAAAADegwagAAAAAAAIgqAAAAANiqmAA5Z7J1KKmYAAAAAABFZ7J1KK2YAPX///8AAAAAAAAAAAAAAACckJR5cKmYAJ3+43YAAGF2AAAAAAAAAAABB+N2AAAAAAkAAAB8qpgAfKqY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3+43YAAAAABPhTdgAAAABASZ9qAAAAALoVoGoAAAAAbEehagAAAACw+jdqAAAAAPr1N2oAAAAAS/M3agAAAABF7jdqAAAAAKnnN2oAAAAAQuU3agAAAAAD2DdqAAAAAL/WN2oAAAAAjWYxagAAAAAc25Hc2OmYAAAAAAAAAJgA4IQObhiIG7L+////COyYABzTsndA65gAgFGqAGCfDW4AAAAASNOyd///AAAAAAAAK9SydyvUsnc47JgAAACYAAcAAAAAAAAAAQfjdgkAAAAHAAAAaOyYAGjsmAAAAgAA/P///wEAAAAAAAAAAAAAAAAAAAAAAAAA+NT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AZDAEAAFCNmAB4abJ1BkAKB8SNmACwj5gAhWmydYULcVhojZgAAAAAAAAAAACA5Vlqpnkuaoj9KQnojJgATI2YAPqhVGr/////OI2YANK7MGpQIDVqBrwwakcfL2pZHy9qyQtxWIDlWWqpC3FYYI2YALO7MGqw5m8ZAAAAAAAAiCqIjZgAGI+YADlnsnVojZgAAgAAAEVnsnUMqFlq4P///wAAAAAAAAAAAAAAAJABAAAAAAABAAAAAGEAcgAAAAAAAAAAAAEH43YAAAAABgAAALyOmAC8jpg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zAAAAAoAAABQAAAAlAAAAFwAAAABAAAAVZXbQV9C20EKAAAAUAAAABUAAABMAAAAAAAAAAAAAAAAAAAA//////////94AAAAIwQiBBIEKgQgBBQEFQQdBBAEIAAhBCoEIQQgABcEEAQfBB4EEgQVBBQEAAAGAAAABgAAAAYAAAAIAAAABgAAAAgAAAAGAAAACAAAAAcAAAADAAAABwAAAAgAAAAHAAAAAwAAAAYAAAAHAAAACAAAAAkAAAAGAAAABgAAAAg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MAQAACgAAAGAAAADgAAAAbAAAAAEAAABVldtBX0LbQQoAAABgAAAAIAAAAEwAAAAAAAAAAAAAAAAAAAD//////////4wAAAAdBBAEIAAYBBcEHwQqBBsEHQQYBCIEFQQbBB0EGAQvBCAAFAQYBCAEFQQaBCIEHgQgBCAAHQQQBCAAHQQQBB8ECAAAAAcAAAADAAAACAAAAAYAAAAIAAAACAAAAAcAAAAIAAAACAAAAAYAAAAGAAAABwAAAAgAAAAIAAAABwAAAAMAAAAIAAAACAAAAAYAAAAGAAAABgAAAAYAAAAJAAAABgAAAAMAAAAIAAAABwAAAAMAAAAIAAAABwAAAAgAAABLAAAAQAAAADAAAAAFAAAAIAAAAAEAAAABAAAAEAAAAAAAAAAAAAAAAAEAAIAAAAAAAAAAAAAAAAABAACAAAAAJQAAAAwAAAAC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YAQAACgAAAHAAAADFAAAAfAAAAAEAAABVldtBX0LbQQoAAABwAAAAIgAAAEwAAAAEAAAACQAAAHAAAADHAAAAfQAAAJAAAABTAGkAZwBuAGUAZAAgAGIAeQA6ACAATgBhAHQAaQBvAG4AYQBsACAAUgBlAHYAZQBuAHUAZQAgAEEAZwBlAG4AYwB5AAYAAAADAAAABwAAAAcAAAAGAAAABwAAAAMAAAAHAAAABQAAAAMAAAADAAAACAAAAAYAAAAEAAAAAwAAAAcAAAAHAAAABgAAAAMAAAADAAAABwAAAAYAAAAFAAAABgAAAAcAAAAHAAAABgAAAAMAAAAHAAAABwAAAAYAAAAHAAAABQ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1572-F2A2-4529-8771-EC126CCE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7033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47028</CharactersWithSpaces>
  <SharedDoc>false</SharedDoc>
  <HLinks>
    <vt:vector size="6" baseType="variant"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http://napnet/document?id=42940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HP-DC5850</dc:creator>
  <cp:lastModifiedBy>ПЛАМЕН КОСТАДИНОВ КОСТАДИНОВ</cp:lastModifiedBy>
  <cp:revision>2</cp:revision>
  <cp:lastPrinted>2022-09-13T06:48:00Z</cp:lastPrinted>
  <dcterms:created xsi:type="dcterms:W3CDTF">2023-09-28T12:56:00Z</dcterms:created>
  <dcterms:modified xsi:type="dcterms:W3CDTF">2023-09-28T12:56:00Z</dcterms:modified>
</cp:coreProperties>
</file>